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1EA90" w14:textId="77777777" w:rsidR="00F720CA" w:rsidRPr="00C93EC4" w:rsidRDefault="001736CC" w:rsidP="001005F5">
      <w:pPr>
        <w:pStyle w:val="Bezodstpw"/>
        <w:rPr>
          <w:b/>
          <w:sz w:val="28"/>
          <w:szCs w:val="28"/>
        </w:rPr>
      </w:pPr>
      <w:r w:rsidRPr="00C93EC4">
        <w:rPr>
          <w:b/>
          <w:sz w:val="28"/>
          <w:szCs w:val="28"/>
        </w:rPr>
        <w:t xml:space="preserve"> </w:t>
      </w:r>
      <w:r w:rsidR="00C93EC4">
        <w:rPr>
          <w:b/>
          <w:sz w:val="28"/>
          <w:szCs w:val="28"/>
        </w:rPr>
        <w:t xml:space="preserve">   </w:t>
      </w:r>
      <w:r w:rsidR="001005F5" w:rsidRPr="00C93EC4">
        <w:rPr>
          <w:b/>
          <w:sz w:val="28"/>
          <w:szCs w:val="28"/>
        </w:rPr>
        <w:t xml:space="preserve">  </w:t>
      </w:r>
      <w:r w:rsidRPr="00C93EC4">
        <w:rPr>
          <w:b/>
          <w:sz w:val="28"/>
          <w:szCs w:val="28"/>
        </w:rPr>
        <w:t xml:space="preserve">    </w:t>
      </w:r>
      <w:r w:rsidR="00721797" w:rsidRPr="00C93EC4">
        <w:rPr>
          <w:b/>
          <w:sz w:val="28"/>
          <w:szCs w:val="28"/>
        </w:rPr>
        <w:t>Analiza stanu gospodarki odpadami komunalnymi na terenie</w:t>
      </w:r>
      <w:r w:rsidR="009215D9" w:rsidRPr="00C93EC4">
        <w:rPr>
          <w:b/>
          <w:sz w:val="28"/>
          <w:szCs w:val="28"/>
        </w:rPr>
        <w:t xml:space="preserve">                               </w:t>
      </w:r>
      <w:r w:rsidR="00721797" w:rsidRPr="00C93EC4">
        <w:rPr>
          <w:b/>
          <w:sz w:val="28"/>
          <w:szCs w:val="28"/>
        </w:rPr>
        <w:t xml:space="preserve"> </w:t>
      </w:r>
    </w:p>
    <w:p w14:paraId="74B055A0" w14:textId="77777777" w:rsidR="00721797" w:rsidRPr="00F720CA" w:rsidRDefault="00F720CA" w:rsidP="00721797">
      <w:pPr>
        <w:rPr>
          <w:b/>
          <w:i/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</w:t>
      </w:r>
      <w:r w:rsidR="009215D9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</w:t>
      </w:r>
      <w:r w:rsidR="00C93EC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9215D9" w:rsidRPr="00F720CA">
        <w:rPr>
          <w:b/>
          <w:sz w:val="28"/>
          <w:szCs w:val="28"/>
        </w:rPr>
        <w:t xml:space="preserve">Miasta i </w:t>
      </w:r>
      <w:r w:rsidRPr="00F720CA">
        <w:rPr>
          <w:b/>
          <w:sz w:val="28"/>
          <w:szCs w:val="28"/>
        </w:rPr>
        <w:t>Gminy Górzno w 2020 roku</w:t>
      </w:r>
      <w:r>
        <w:rPr>
          <w:b/>
          <w:sz w:val="28"/>
          <w:szCs w:val="28"/>
        </w:rPr>
        <w:t xml:space="preserve">                    </w:t>
      </w:r>
      <w:r w:rsidR="001736CC" w:rsidRPr="00F720CA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                           </w:t>
      </w:r>
      <w:r w:rsidR="00721797" w:rsidRPr="00F720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</w:p>
    <w:p w14:paraId="2BD1C79F" w14:textId="77777777" w:rsidR="001736CC" w:rsidRPr="00721797" w:rsidRDefault="001736CC" w:rsidP="001736C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9E3F934" w14:textId="77777777" w:rsidR="001736CC" w:rsidRDefault="001736CC" w:rsidP="001736CC">
      <w:r>
        <w:t>1.Wprowadzenie</w:t>
      </w:r>
    </w:p>
    <w:p w14:paraId="29DBFC96" w14:textId="77777777" w:rsidR="001736CC" w:rsidRDefault="001736CC" w:rsidP="001736CC">
      <w:r>
        <w:t>1.1 Cel przygotowania analizy</w:t>
      </w:r>
    </w:p>
    <w:p w14:paraId="7775BEE9" w14:textId="77777777" w:rsidR="001736CC" w:rsidRDefault="001736CC" w:rsidP="001736CC">
      <w:r>
        <w:t>Niniejszy dokument stanowi roczną analizę stanu gospodarki odpadami komunalnymi na terenie Miasta i Gminy Górzno sporządzoną w celu weryfikacji możliwości technicznych i organizacyjnych miasta i gminy w zakresie gospodarowania odpadami komunalnymi.</w:t>
      </w:r>
    </w:p>
    <w:p w14:paraId="7B29E83A" w14:textId="77777777" w:rsidR="001736CC" w:rsidRDefault="001736CC" w:rsidP="001736CC">
      <w:r>
        <w:t>1.2 Podstawa prawna sporządzenia analizy.</w:t>
      </w:r>
    </w:p>
    <w:p w14:paraId="11BEF561" w14:textId="77777777" w:rsidR="001736CC" w:rsidRDefault="001736CC" w:rsidP="001736CC">
      <w:r>
        <w:t xml:space="preserve">Analizę sporządzono na podstawie art.3 ust. 2 pkt 10 w związku z art. 9 </w:t>
      </w:r>
      <w:proofErr w:type="spellStart"/>
      <w:r>
        <w:t>tb</w:t>
      </w:r>
      <w:proofErr w:type="spellEnd"/>
      <w:r>
        <w:t xml:space="preserve"> ustawy z dnia 13 września 1996 r. o utrzymaniu czystości i porządku w gminach (tj. Dz.U.2020 r. poz. 1439)</w:t>
      </w:r>
      <w:r w:rsidR="006506BD">
        <w:t>.</w:t>
      </w:r>
    </w:p>
    <w:p w14:paraId="65D84AE6" w14:textId="77777777" w:rsidR="001736CC" w:rsidRDefault="001736CC" w:rsidP="001736CC">
      <w:r>
        <w:t>1.3 Regulacje prawne z zakresu gospodarowania odpadami.</w:t>
      </w:r>
    </w:p>
    <w:p w14:paraId="35BE5064" w14:textId="77777777" w:rsidR="001736CC" w:rsidRDefault="001736CC" w:rsidP="001736CC">
      <w:r>
        <w:t>- Krajowy plan gospodarki odpadami 2022,przyjęty uchwałą Nr 88 Rady Ministrów z dnia 1 lipca 2016 r. (M.P. poz. 784),</w:t>
      </w:r>
    </w:p>
    <w:p w14:paraId="611EE950" w14:textId="77777777" w:rsidR="001736CC" w:rsidRPr="001E2A66" w:rsidRDefault="001736CC" w:rsidP="001736CC">
      <w:pPr>
        <w:spacing w:after="120"/>
        <w:rPr>
          <w:rFonts w:cstheme="minorHAnsi"/>
        </w:rPr>
      </w:pPr>
      <w:r>
        <w:t xml:space="preserve">- </w:t>
      </w:r>
      <w:r w:rsidRPr="00D97461">
        <w:rPr>
          <w:rFonts w:cstheme="minorHAnsi"/>
        </w:rPr>
        <w:t xml:space="preserve">Wojewódzki </w:t>
      </w:r>
      <w:r>
        <w:rPr>
          <w:rFonts w:cstheme="minorHAnsi"/>
        </w:rPr>
        <w:t xml:space="preserve">Plan Gospodarki </w:t>
      </w:r>
      <w:r w:rsidRPr="001E2A66">
        <w:rPr>
          <w:rFonts w:cstheme="minorHAnsi"/>
        </w:rPr>
        <w:t xml:space="preserve">Odpadami </w:t>
      </w:r>
      <w:r w:rsidRPr="001E2A66">
        <w:t xml:space="preserve"> województwa kujawsko-pomorskiego na lata 2016-2022 z perspektywą na lata 2023-2028, przyjęty uchwałą</w:t>
      </w:r>
      <w:r>
        <w:t xml:space="preserve"> Nr XXXII/545/17 Sejmiku Województwa Kujawsko-Pomorskiego z dnia 29 maja 2017 r.,</w:t>
      </w:r>
    </w:p>
    <w:p w14:paraId="79E98BDC" w14:textId="77777777" w:rsidR="001736CC" w:rsidRDefault="001736CC" w:rsidP="001736CC">
      <w:r>
        <w:t>- Ustawa z dnia 14 grudnia 2012</w:t>
      </w:r>
      <w:r w:rsidR="00F774DC">
        <w:t xml:space="preserve"> r. o odpadach (tj. Dz.U.2020 r.</w:t>
      </w:r>
      <w:r>
        <w:t xml:space="preserve"> poz.797),</w:t>
      </w:r>
    </w:p>
    <w:p w14:paraId="0FA7630C" w14:textId="77777777" w:rsidR="001736CC" w:rsidRDefault="001736CC" w:rsidP="001736CC">
      <w:r>
        <w:t>- Ustawa z dnia 13 września 1996 r. o utrzymaniu czystości i porządku w gminach (tj. Dz.U.2020</w:t>
      </w:r>
      <w:r w:rsidR="00F774DC">
        <w:t xml:space="preserve"> r.</w:t>
      </w:r>
      <w:r>
        <w:t xml:space="preserve"> poz. 1439),</w:t>
      </w:r>
    </w:p>
    <w:p w14:paraId="238F7B08" w14:textId="77777777" w:rsidR="001736CC" w:rsidRDefault="001736CC" w:rsidP="001736CC">
      <w:pPr>
        <w:rPr>
          <w:rFonts w:eastAsia="Times New Roman" w:cstheme="minorHAnsi"/>
          <w:bCs/>
          <w:color w:val="000000"/>
          <w:lang w:eastAsia="pl-PL"/>
        </w:rPr>
      </w:pPr>
      <w:r w:rsidRPr="001E2A66">
        <w:t xml:space="preserve">- </w:t>
      </w:r>
      <w:r w:rsidRPr="001E2A66">
        <w:rPr>
          <w:rFonts w:cstheme="minorHAnsi"/>
        </w:rPr>
        <w:t xml:space="preserve"> </w:t>
      </w:r>
      <w:r w:rsidRPr="001E2A66">
        <w:rPr>
          <w:rFonts w:eastAsia="Times New Roman" w:cstheme="minorHAnsi"/>
          <w:bCs/>
          <w:color w:val="000000"/>
          <w:lang w:eastAsia="pl-PL"/>
        </w:rPr>
        <w:t>Rozporządzenie Ministra Środowiska z dnia 15 grudnia 2017 r. w sprawie poziomów ograniczenia składowania masy odpadów komunalnych ulegających biodegradacj</w:t>
      </w:r>
      <w:r>
        <w:rPr>
          <w:rFonts w:eastAsia="Times New Roman" w:cstheme="minorHAnsi"/>
          <w:bCs/>
          <w:color w:val="000000"/>
          <w:lang w:eastAsia="pl-PL"/>
        </w:rPr>
        <w:t xml:space="preserve">i (Dz.U.2017 </w:t>
      </w:r>
      <w:r w:rsidR="00F774DC">
        <w:rPr>
          <w:rFonts w:eastAsia="Times New Roman" w:cstheme="minorHAnsi"/>
          <w:bCs/>
          <w:color w:val="000000"/>
          <w:lang w:eastAsia="pl-PL"/>
        </w:rPr>
        <w:t xml:space="preserve">r. </w:t>
      </w:r>
      <w:r>
        <w:rPr>
          <w:rFonts w:eastAsia="Times New Roman" w:cstheme="minorHAnsi"/>
          <w:bCs/>
          <w:color w:val="000000"/>
          <w:lang w:eastAsia="pl-PL"/>
        </w:rPr>
        <w:t>poz.2412),</w:t>
      </w:r>
    </w:p>
    <w:p w14:paraId="526FBA2C" w14:textId="77777777" w:rsidR="001736CC" w:rsidRDefault="001736CC" w:rsidP="001736CC">
      <w:pPr>
        <w:rPr>
          <w:rFonts w:eastAsia="Times New Roman" w:cstheme="minorHAnsi"/>
          <w:bCs/>
          <w:color w:val="000000"/>
          <w:lang w:eastAsia="pl-PL"/>
        </w:rPr>
      </w:pPr>
      <w:r>
        <w:rPr>
          <w:lang w:eastAsia="pl-PL"/>
        </w:rPr>
        <w:t xml:space="preserve">- </w:t>
      </w:r>
      <w:r w:rsidRPr="006D3327">
        <w:rPr>
          <w:rFonts w:eastAsia="Times New Roman" w:cstheme="minorHAnsi"/>
          <w:bCs/>
          <w:color w:val="000000"/>
          <w:lang w:eastAsia="pl-PL"/>
        </w:rPr>
        <w:t>Rozporządzenie Ministra Środowiska z dnia 14 grudnia 2016 r. w sprawie poziomów recyklingu, przygotowania do ponownego użycia i odzysku innymi metodami niektórych frakcji odpadów komunalnych</w:t>
      </w:r>
      <w:r>
        <w:rPr>
          <w:rFonts w:eastAsia="Times New Roman" w:cstheme="minorHAnsi"/>
          <w:bCs/>
          <w:color w:val="000000"/>
          <w:lang w:eastAsia="pl-PL"/>
        </w:rPr>
        <w:t xml:space="preserve"> (Dz. U. 2016 </w:t>
      </w:r>
      <w:r w:rsidR="00CE15CD">
        <w:rPr>
          <w:rFonts w:eastAsia="Times New Roman" w:cstheme="minorHAnsi"/>
          <w:bCs/>
          <w:color w:val="000000"/>
          <w:lang w:eastAsia="pl-PL"/>
        </w:rPr>
        <w:t xml:space="preserve">r. </w:t>
      </w:r>
      <w:r>
        <w:rPr>
          <w:rFonts w:eastAsia="Times New Roman" w:cstheme="minorHAnsi"/>
          <w:bCs/>
          <w:color w:val="000000"/>
          <w:lang w:eastAsia="pl-PL"/>
        </w:rPr>
        <w:t>poz.2167) uchylone 31.12.2020 r.</w:t>
      </w:r>
      <w:r w:rsidR="00FA65CC">
        <w:rPr>
          <w:rFonts w:eastAsia="Times New Roman" w:cstheme="minorHAnsi"/>
          <w:bCs/>
          <w:color w:val="000000"/>
          <w:lang w:eastAsia="pl-PL"/>
        </w:rPr>
        <w:t>,</w:t>
      </w:r>
    </w:p>
    <w:p w14:paraId="234602C7" w14:textId="77777777" w:rsidR="001736CC" w:rsidRPr="006D3327" w:rsidRDefault="001736CC" w:rsidP="001736CC">
      <w:pPr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- Rozporządzenie Ministra Klimatu  z dnia 2 stycznia  2020 r. w sprawie katalogu odpadów (Dz. U. z 2020 r., poz. 10)</w:t>
      </w:r>
      <w:r w:rsidR="00FA65CC">
        <w:rPr>
          <w:rFonts w:eastAsia="Times New Roman" w:cstheme="minorHAnsi"/>
          <w:bCs/>
          <w:color w:val="000000"/>
          <w:lang w:eastAsia="pl-PL"/>
        </w:rPr>
        <w:t>.</w:t>
      </w:r>
      <w:r>
        <w:rPr>
          <w:rFonts w:eastAsia="Times New Roman" w:cstheme="minorHAnsi"/>
          <w:bCs/>
          <w:color w:val="000000"/>
          <w:lang w:eastAsia="pl-PL"/>
        </w:rPr>
        <w:t xml:space="preserve"> </w:t>
      </w:r>
    </w:p>
    <w:p w14:paraId="4FE54922" w14:textId="77777777" w:rsidR="001736CC" w:rsidRDefault="001736CC" w:rsidP="001736CC">
      <w:r>
        <w:t>1.4 Wskaźniki odzysku przewidziane do osiągnięcia</w:t>
      </w:r>
      <w:r w:rsidR="00FA65CC">
        <w:t xml:space="preserve"> w 2020 roku</w:t>
      </w:r>
      <w:r>
        <w:t>.</w:t>
      </w:r>
    </w:p>
    <w:p w14:paraId="2A338A13" w14:textId="77777777" w:rsidR="001736CC" w:rsidRDefault="001736CC" w:rsidP="001736CC">
      <w:r>
        <w:t>1.4.1 Ograniczenie masy odpadów komunalnych ulegających biodegradacji przekazywanych do składowania.</w:t>
      </w:r>
    </w:p>
    <w:p w14:paraId="1644C3E3" w14:textId="77777777" w:rsidR="001736CC" w:rsidRDefault="001736CC" w:rsidP="001736CC">
      <w:r>
        <w:t>Zgodnie z rozporządzeniem Ministra Środowiska z dnia 15 grudnia 2017 r. w spawie poziomów ograniczenia składowania masy odpadów komunalnych ulegających biodegradacji dopuszczalny poziom masy tych odpadów wytwor</w:t>
      </w:r>
      <w:r w:rsidR="006103DB">
        <w:t>zonyc</w:t>
      </w:r>
      <w:r w:rsidR="003462B4">
        <w:t>h  do dnia 16 lipca 2020 wynosił</w:t>
      </w:r>
      <w:r w:rsidR="006103DB">
        <w:t xml:space="preserve"> 35 % </w:t>
      </w:r>
      <w:r>
        <w:t xml:space="preserve"> masy w stosunku do masy tych odpadów wytworzonych w 1995 r.    </w:t>
      </w:r>
    </w:p>
    <w:p w14:paraId="671B8BCB" w14:textId="77777777" w:rsidR="001736CC" w:rsidRDefault="001736CC" w:rsidP="001736CC">
      <w:r>
        <w:t>1.4.2 Poziomy  recyklingu, przygotowania do ponownego użycia i odzysku innymi metodami niektórych frakcji odpadów komunalnych.</w:t>
      </w:r>
    </w:p>
    <w:p w14:paraId="26CECAA8" w14:textId="77777777" w:rsidR="001736CC" w:rsidRDefault="001736CC" w:rsidP="001736CC">
      <w:r>
        <w:lastRenderedPageBreak/>
        <w:t>Zgodnie z rozporządzeniem Ministra Środowiska z dnia 14 grudnia 2016 r. w sprawie poziomów recyklingu, przygotowania do  ponownego użycia i odzysku innymi metodami niektórych frakcji odpadów komuna</w:t>
      </w:r>
      <w:r w:rsidR="002B6C6D">
        <w:t>lnych</w:t>
      </w:r>
      <w:r w:rsidR="006103DB">
        <w:t>,</w:t>
      </w:r>
      <w:r w:rsidR="002B6C6D">
        <w:t xml:space="preserve"> </w:t>
      </w:r>
      <w:r w:rsidR="006103DB">
        <w:t>poziomy te wynoszą w 2020</w:t>
      </w:r>
      <w:r>
        <w:t xml:space="preserve"> r odpowiednio :</w:t>
      </w:r>
    </w:p>
    <w:p w14:paraId="664155B0" w14:textId="77777777" w:rsidR="001736CC" w:rsidRDefault="001736CC" w:rsidP="001736CC">
      <w:r>
        <w:t>-papier, metale, tworzywa sztuczne, szkło  - 50 %,</w:t>
      </w:r>
    </w:p>
    <w:p w14:paraId="738125CA" w14:textId="77777777" w:rsidR="001736CC" w:rsidRDefault="001736CC" w:rsidP="001736CC">
      <w:r>
        <w:t>-inne niż niebezpieczne odpady budowlane i rozbiórkowe- 70 %</w:t>
      </w:r>
    </w:p>
    <w:p w14:paraId="3C93A2F4" w14:textId="77777777" w:rsidR="001736CC" w:rsidRDefault="001736CC" w:rsidP="001736C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2.Źrodła powstawania odpadów komunalnych</w:t>
      </w:r>
    </w:p>
    <w:p w14:paraId="06DF4C20" w14:textId="77777777" w:rsidR="001736CC" w:rsidRDefault="001736CC" w:rsidP="001736CC">
      <w:r>
        <w:t xml:space="preserve">Głównym źródłem powstawania odpadów komunalnych na terenie Miasta i Gminy Górzno są nieruchomości zamieszkałe (gospodarstwa domowe) oraz nieruchomości niezamieszkałe takie jak obiekty </w:t>
      </w:r>
      <w:r w:rsidR="00CE15CD">
        <w:t>użyteczności publicznej (szkoły</w:t>
      </w:r>
      <w:r>
        <w:t>,</w:t>
      </w:r>
      <w:r w:rsidR="00CE15CD">
        <w:t xml:space="preserve"> </w:t>
      </w:r>
      <w:r>
        <w:t>przedszkola, urząd, remizy OSP, posterunek policji), infrastruktury (obiekty hand</w:t>
      </w:r>
      <w:r w:rsidR="00CE15CD">
        <w:t>lowe, usługowe, zakwaterowania)</w:t>
      </w:r>
      <w:r>
        <w:t>,</w:t>
      </w:r>
      <w:r w:rsidR="00CE15CD">
        <w:t xml:space="preserve"> </w:t>
      </w:r>
      <w:r>
        <w:t>cmentarze, parkingi, przystanki, niezamieszkałe nieruchomości na których powstają odpady itp.</w:t>
      </w:r>
    </w:p>
    <w:p w14:paraId="3F78272A" w14:textId="77777777" w:rsidR="00721797" w:rsidRDefault="00721797" w:rsidP="001736CC"/>
    <w:p w14:paraId="7F83514B" w14:textId="77777777" w:rsidR="001736CC" w:rsidRDefault="001736CC" w:rsidP="001736CC">
      <w:r>
        <w:t>3.Liczba mieszkańców na terenie Miasta i Gminy Górzno.</w:t>
      </w:r>
    </w:p>
    <w:p w14:paraId="6BD29EAF" w14:textId="77777777" w:rsidR="001736CC" w:rsidRDefault="001736CC" w:rsidP="001736CC">
      <w:r>
        <w:t>Zgodnie z danymi  na dzień 31.12.2020 r. pochodzącymi z rejestru Miasta i Gminy Górzno liczba mieszkańców stale i czaso</w:t>
      </w:r>
      <w:r w:rsidR="00827CD2">
        <w:t xml:space="preserve">wo zamieszkujących wynosiła 4080 </w:t>
      </w:r>
      <w:r w:rsidR="00CE15CD">
        <w:t xml:space="preserve">osób </w:t>
      </w:r>
      <w:r w:rsidR="00827CD2">
        <w:t>z czego 1479</w:t>
      </w:r>
      <w:r>
        <w:t xml:space="preserve"> zamieszkiwało na terenie miasta Górzno, </w:t>
      </w:r>
      <w:r w:rsidR="00827CD2">
        <w:t>a 2601</w:t>
      </w:r>
      <w:r>
        <w:t xml:space="preserve"> na obszarach w</w:t>
      </w:r>
      <w:r w:rsidR="006103DB">
        <w:t xml:space="preserve">iejskich. Jednak do obliczenia </w:t>
      </w:r>
      <w:r w:rsidR="00470532">
        <w:t>osiągniętych poziomów recyklingu i przygotowania do ponownego użycia papieru, metali, tworzyw sztucznych i szkła oraz</w:t>
      </w:r>
      <w:r w:rsidR="00470532" w:rsidRPr="00470532">
        <w:t xml:space="preserve"> </w:t>
      </w:r>
      <w:r w:rsidR="00470532">
        <w:t xml:space="preserve">ograniczenia masy  </w:t>
      </w:r>
      <w:r>
        <w:t xml:space="preserve">odpadów ulegających biodegradacji przekazywanych do składowania </w:t>
      </w:r>
      <w:r w:rsidR="00827CD2">
        <w:t>w 2020</w:t>
      </w:r>
      <w:r>
        <w:t xml:space="preserve"> r. zastosowano liczbę mieszkańców ustaloną na podstawie danych pochodzących ze złożonych przez właścicieli nieruchomości deklaracji o wysokości opłaty za gospodarowanie odpadami komunalnymi,</w:t>
      </w:r>
      <w:r w:rsidR="00827CD2">
        <w:t xml:space="preserve"> która wyniosła 3229 osób : 1195 z terenu miasta,2034</w:t>
      </w:r>
      <w:r>
        <w:t xml:space="preserve"> z obszarów wiejskich.</w:t>
      </w:r>
    </w:p>
    <w:p w14:paraId="0A1E83E8" w14:textId="77777777" w:rsidR="00721797" w:rsidRDefault="00721797" w:rsidP="001736CC"/>
    <w:p w14:paraId="4FB71726" w14:textId="77777777" w:rsidR="001736CC" w:rsidRDefault="001736CC" w:rsidP="001736CC">
      <w:r>
        <w:t>4.Liczba właścicieli nieruchomości, którzy nie zawarli umowy</w:t>
      </w:r>
    </w:p>
    <w:p w14:paraId="3DFFEBAA" w14:textId="77777777" w:rsidR="001736CC" w:rsidRDefault="001736CC" w:rsidP="001736CC">
      <w:r>
        <w:t>Z uwagi na fakt, że zawarcie umowy na odbiór odpadów ciąży na właścicielach nieruchomości faktycznie zamieszkujących na terenie Miasta i Gminy Górzno i trudno o dokładne określenie takiej wartości</w:t>
      </w:r>
      <w:r w:rsidR="006B7171">
        <w:t>. Według posiadanych danych 1096</w:t>
      </w:r>
      <w:r>
        <w:t xml:space="preserve"> właścicieli nieruchomości zamieszkałych  i nie zamieszkałych zawa</w:t>
      </w:r>
      <w:r w:rsidR="009215D9">
        <w:t>r</w:t>
      </w:r>
      <w:r>
        <w:t>ło taką umowę. Szacuje się ,że około 5 % podmiotów nie wypełniło tego obowiązku.</w:t>
      </w:r>
    </w:p>
    <w:p w14:paraId="1E00B0F3" w14:textId="77777777" w:rsidR="00721797" w:rsidRDefault="00721797" w:rsidP="001736CC"/>
    <w:p w14:paraId="1B912C1A" w14:textId="77777777" w:rsidR="001736CC" w:rsidRDefault="001736CC" w:rsidP="001736CC">
      <w:r>
        <w:t>5.Sposoby postępowania, zasady odbioru oraz ilość odpadów komunalnych wytworzonych na terenie Miasta i Gminy Górzno.</w:t>
      </w:r>
    </w:p>
    <w:p w14:paraId="2B55A269" w14:textId="77777777" w:rsidR="001736CC" w:rsidRDefault="001736CC" w:rsidP="001736CC">
      <w:r>
        <w:t>5.1 Sposoby postępowania z odpadami komunalnymi.</w:t>
      </w:r>
    </w:p>
    <w:p w14:paraId="0F445C21" w14:textId="77777777" w:rsidR="001736CC" w:rsidRDefault="00827CD2" w:rsidP="001736CC">
      <w:r>
        <w:t>W 2020</w:t>
      </w:r>
      <w:r w:rsidR="001736CC">
        <w:t xml:space="preserve"> roku odpady komunalne z terenu Miasta i Gminy Górzno odbierane były w postaci selektywnie bądź nieselektywnie zbieranych odpadów komunalnych ,w zależności od  złożonych przez właścicieli nieruchomości deklaracji.</w:t>
      </w:r>
      <w:r w:rsidR="002B6C6D">
        <w:t xml:space="preserve"> Od 1 września 2020 r. na właścicieli  nieruchomości zamieszkałych nałożony został obowiązek selektywnej zbiórki odpadów.</w:t>
      </w:r>
      <w:r w:rsidR="001736CC">
        <w:t xml:space="preserve">                                                              </w:t>
      </w:r>
      <w:r w:rsidR="002B6C6D">
        <w:t xml:space="preserve">                             </w:t>
      </w:r>
      <w:r w:rsidR="001736CC">
        <w:t xml:space="preserve">Odpady komunalne zbierane były do indywidualnych pojemników lub worków .Worki do segregacji odpadów zabezpieczył odbiorca odpadów Przedsiębiorstwo Usług Komunalnych w Lipnie. Właściciele nieruchomości zaopatrywali się we własnym zakresie w pojemniki do selektywnie i nieselektywnie </w:t>
      </w:r>
      <w:r w:rsidR="001736CC">
        <w:lastRenderedPageBreak/>
        <w:t>zbieranych odpadów komunalnych oraz w worki na zmieszane odpady. Odpady przekazywane do Punktu Selektywnej Zbiórki Odpadów Komunalnych były dostarczane przez właścicieli nieruchomości we własnym zakresie. Ponadto odpady wielkogabarytowe odbierane były z punktu wyznaczonego w każdym sołectwie  w czasie objazdowej zbió</w:t>
      </w:r>
      <w:r w:rsidR="00351909">
        <w:t xml:space="preserve">rki bądź bezpośrednio z </w:t>
      </w:r>
      <w:r w:rsidR="001736CC">
        <w:t xml:space="preserve"> terenu danej nieruchomości w przypadku niemożności dostarczenia ww. do wskazanego miejsca odbioru. Odpady budowlane zbierane były do worków typu BIG-BAG lub przeznaczonych do tego kontenerów.</w:t>
      </w:r>
    </w:p>
    <w:p w14:paraId="4C8F2A7D" w14:textId="77777777" w:rsidR="001736CC" w:rsidRDefault="001736CC" w:rsidP="001736CC">
      <w:r>
        <w:t>5.2 Zasady odbioru odpadów komunalnych od właścicieli nieruchomości.</w:t>
      </w:r>
    </w:p>
    <w:p w14:paraId="2B5DE8B6" w14:textId="77777777" w:rsidR="001736CC" w:rsidRDefault="001736CC" w:rsidP="001736CC">
      <w:r>
        <w:t>Zgodnie z ustawą o utrzymaniu czystości i porządku w gminach przedsiębiorcy odbierający odpady komunalne od właścicieli nieruchomości na terenie Miasta i Gminy Górzno wykonywali powyższą działalność na podstawie wpisu do rejestru działalności regulowanej.</w:t>
      </w:r>
      <w:r w:rsidRPr="00093C1C">
        <w:t xml:space="preserve"> </w:t>
      </w:r>
      <w:r>
        <w:t xml:space="preserve">                                               Odbiór odpadów komunalnych od właścicieli nieruchomości zamieszkałych odbywał się na podstawie umowy zawartej pomiędzy gminą a przedsiębiorcą wyłonionym w drodze przetargu nieograniczonego. Odbiór odpadów od właścicieli nieruchomości niezamieszkałych odbywał się na podstawie umowy zawartej pomiędzy Miastem i Gminą Górzno, a ww. podmiotem bądź na podstawie umów cywilno-prawnych  pomiędzy przedsiębiorcą a właścicielami nieruchomości.</w:t>
      </w:r>
    </w:p>
    <w:p w14:paraId="4CB545CA" w14:textId="77777777" w:rsidR="001736CC" w:rsidRDefault="001736CC" w:rsidP="001736CC">
      <w:r>
        <w:t>Zgodnie z uchwałą  Nr XXIV/131/2012 Rady Gminy w Górznie z dnia 28 grudnia 2012 r. w sprawie regulaminu utrzymania czystości i porządku na tere</w:t>
      </w:r>
      <w:r w:rsidR="002E1DA9">
        <w:t xml:space="preserve">nie Gminy Górzno uchyloną uchwałą </w:t>
      </w:r>
      <w:r w:rsidR="00351909">
        <w:t xml:space="preserve"> Nr XIX/95/2020 Rady Miejskiej w</w:t>
      </w:r>
      <w:r w:rsidR="002E1DA9">
        <w:t xml:space="preserve"> Górznie z dnia 19 listopada 2020 r. w sprawie regulaminu utrzymania czystości i porządku na terenie Miasta i Gminy Górzno</w:t>
      </w:r>
      <w:r w:rsidR="00775752">
        <w:t xml:space="preserve"> :</w:t>
      </w:r>
      <w:r>
        <w:t xml:space="preserve">                  </w:t>
      </w:r>
    </w:p>
    <w:p w14:paraId="61432EA6" w14:textId="77777777" w:rsidR="001736CC" w:rsidRDefault="001736CC" w:rsidP="001736CC">
      <w:r>
        <w:t>-odpady komunalne na terenie miasta Górzno odbierane były co najmniej dwa razy w miesiącu, odpady komunalne odbierane z terenów wiejskich odbierane były co najmniej raz w miesiącu,</w:t>
      </w:r>
    </w:p>
    <w:p w14:paraId="69616F18" w14:textId="77777777" w:rsidR="001736CC" w:rsidRDefault="00827CD2" w:rsidP="001736CC">
      <w:r>
        <w:t>-w 2020 r. w okresie letnim</w:t>
      </w:r>
      <w:r w:rsidR="001736CC">
        <w:t xml:space="preserve"> i jesiennym dwukrotnie odbyła się objazdowa zbiórka odpadów wielkogabarytowych,</w:t>
      </w:r>
    </w:p>
    <w:p w14:paraId="59EFCEEC" w14:textId="77777777" w:rsidR="001736CC" w:rsidRDefault="001736CC" w:rsidP="001736CC">
      <w:r>
        <w:t xml:space="preserve">- w </w:t>
      </w:r>
      <w:r w:rsidR="002E1DA9">
        <w:t>2020</w:t>
      </w:r>
      <w:r>
        <w:t xml:space="preserve"> r. funkcjonował  Punkt Selektywnej Zbiórki Odpadów Komuna</w:t>
      </w:r>
      <w:r w:rsidR="009215D9">
        <w:t>lnych umiejscowiony w Górznie przy</w:t>
      </w:r>
      <w:r>
        <w:t xml:space="preserve"> ul. Gajowej do którego można było oddać m.in.  selektywnie zebrane odpady komunalne, zużyty sprzęt elektryczny, opony samochodowe, odpady wielkogabarytowe,</w:t>
      </w:r>
    </w:p>
    <w:p w14:paraId="5FE22074" w14:textId="77777777" w:rsidR="001736CC" w:rsidRDefault="001736CC" w:rsidP="001736CC">
      <w:r>
        <w:t xml:space="preserve">-odpady budowlane i inne odpady nie będące odpadami komunalnymi odbierane były </w:t>
      </w:r>
      <w:r w:rsidR="008637B3">
        <w:t>w PSZOK lub bezpośrednio od zainteresowanego podmiotu po zgłoszeniu takiej potrzeby.</w:t>
      </w:r>
      <w:r>
        <w:t xml:space="preserve">                                                                                                                              </w:t>
      </w:r>
    </w:p>
    <w:p w14:paraId="0103F17D" w14:textId="77777777" w:rsidR="001736CC" w:rsidRDefault="001736CC" w:rsidP="001736CC">
      <w:r>
        <w:t>5.3 Ilość odpadów komunalnych wytworzonych na terenie Miasta i G</w:t>
      </w:r>
      <w:r w:rsidR="00807105">
        <w:t>miny Górzno w 2020</w:t>
      </w:r>
      <w:r>
        <w:t xml:space="preserve"> roku, pozostałości z sortowania i z procesu mechaniczno-biologicznego przetwarzania odpadów komunalnych oraz poziom redukcji odpadów komunalnych ulegających biodegradacji kierowanych do składowania.</w:t>
      </w:r>
    </w:p>
    <w:p w14:paraId="0F53F8BE" w14:textId="77777777" w:rsidR="001736CC" w:rsidRDefault="001736CC" w:rsidP="001736CC">
      <w:r>
        <w:t xml:space="preserve">Ilość odpadów podana w niniejszej analizie wynika </w:t>
      </w:r>
      <w:r w:rsidR="00807105">
        <w:t>z otrzymanych sprawozdań za 2020</w:t>
      </w:r>
      <w:r>
        <w:t xml:space="preserve"> r. złożonych p</w:t>
      </w:r>
      <w:r w:rsidR="00807105">
        <w:t>rzez podmioty odbierające w 2020</w:t>
      </w:r>
      <w:r>
        <w:t xml:space="preserve"> r. odpady komunalne od właścicieli nieruchomości.</w:t>
      </w:r>
    </w:p>
    <w:p w14:paraId="237A4A92" w14:textId="77777777" w:rsidR="001736CC" w:rsidRDefault="001736CC" w:rsidP="001736CC">
      <w:r>
        <w:t>5.3.1 Ilość niesegregowanych (zmieszanych) odpadów komunalnych, bioodpadów stanowiących odpady komunalne oraz przeznaczonych do składowania pozostałości z sortowania odpadów komunalnych i pozostałości z procesu mechaniczno-biologicznego przetwarzania niesegregowanych (zmieszanych) odpadów komunalnych.</w:t>
      </w:r>
    </w:p>
    <w:p w14:paraId="258B9533" w14:textId="77777777" w:rsidR="001736CC" w:rsidRDefault="00807105" w:rsidP="001736CC">
      <w:r>
        <w:t>W 2020</w:t>
      </w:r>
      <w:r w:rsidR="001736CC">
        <w:t xml:space="preserve"> r. z terenu Miasta i Gmi</w:t>
      </w:r>
      <w:r>
        <w:t>ny Górzno zostało odebranych 630,72</w:t>
      </w:r>
      <w:r w:rsidR="00775752">
        <w:t>0 Mg</w:t>
      </w:r>
      <w:r w:rsidR="001736CC">
        <w:t xml:space="preserve"> odpadów komunalnych zmieszanych o kodzie 20 03 01,które zostały przekazane do nas</w:t>
      </w:r>
      <w:r>
        <w:t>tępujących instalacji: 590,120</w:t>
      </w:r>
      <w:r w:rsidR="00775752">
        <w:t xml:space="preserve"> Mg</w:t>
      </w:r>
      <w:r w:rsidR="001736CC">
        <w:t xml:space="preserve"> do Przedsiębiorstwa Usług Ko</w:t>
      </w:r>
      <w:r w:rsidR="00775752">
        <w:t>munalnych w Lipnie, S</w:t>
      </w:r>
      <w:r w:rsidR="001736CC">
        <w:t>ortownia odpadów : ul. Wy</w:t>
      </w:r>
      <w:r>
        <w:t xml:space="preserve">szyńskiego 56,87-600 </w:t>
      </w:r>
      <w:r>
        <w:lastRenderedPageBreak/>
        <w:t>Lipno, a 40,60</w:t>
      </w:r>
      <w:r w:rsidR="00775752">
        <w:t xml:space="preserve">0 Mg </w:t>
      </w:r>
      <w:r w:rsidR="001736CC">
        <w:t>do MBT Regionalny Zakład Utylizacji Odpadów Komunalnych ,,Rypin’’ Sp. z o.o., Puszcza Miejska 24,87-500 Rypin.</w:t>
      </w:r>
    </w:p>
    <w:p w14:paraId="76E792AA" w14:textId="77777777" w:rsidR="001736CC" w:rsidRDefault="001736CC" w:rsidP="001736CC">
      <w:r>
        <w:t xml:space="preserve">Masa odpadów, powstałych po sortowaniu zmieszanych (niesegregowanych) odpadów komunalnych odebranych, </w:t>
      </w:r>
      <w:r w:rsidR="00807105">
        <w:t>przekazanych do składowania : 18,69</w:t>
      </w:r>
      <w:r>
        <w:t>5 Mg odpadów o kodzie 19 12 12 (frakcji</w:t>
      </w:r>
      <w:r w:rsidR="007E6F08">
        <w:t xml:space="preserve"> powyżej 80 mm). Z czego 16,061</w:t>
      </w:r>
      <w:r>
        <w:t xml:space="preserve">  Mg wytworzonych w MBT Regionalny Zakład Utylizacji Odpadów Komunalnych ,,Rypin’’ Sp. z o.o., Puszcza Miejska 24,87-500 Rypin przekazanych na składowisko Regionalny Zakład Utylizacji Odpadów Komunalnych ,,Rypin’’ Sp. z o.o., Puszcza Miejska 24,87-500 Rypin, </w:t>
      </w:r>
      <w:r w:rsidR="007E6F08">
        <w:t>2,634</w:t>
      </w:r>
      <w:r>
        <w:t xml:space="preserve"> Mg  wytworzonych w Regionalnej Instalacji Przetwarzania Odpadów Komunalnych w Lipnie, ul. Wyszyńskiego 56,87-600 Lipno przekazanych na składowisko odpadów komunalnych w Lipnie, ul. Wysz</w:t>
      </w:r>
      <w:r w:rsidR="007E6F08">
        <w:t>yńskiego 56,87-600 Lipno oraz 17,484</w:t>
      </w:r>
      <w:r>
        <w:t xml:space="preserve"> Mg o kodzie 19 05 99 (frakcji o wielkości co najmniej od 0 do 80 mm) wytworzonych w Regionalnej Instalacji Przetwarzania Odpadów Komunalnych w Lipnie, ul. Wyszyńskiego 56,87-600 Lipno przekazanych na składowisko odpadów komunalnych w Lipnie, ul. Wyszyńskiego 56,87-600 Lipno.</w:t>
      </w:r>
    </w:p>
    <w:p w14:paraId="2CF270BE" w14:textId="77777777" w:rsidR="001736CC" w:rsidRDefault="001736CC" w:rsidP="001736CC">
      <w:r>
        <w:t>5.3.2 Poziom redukcji odpadów komunalnych ulegających biodegradacji k</w:t>
      </w:r>
      <w:r w:rsidR="008637B3">
        <w:t>ierowanych do składowania w 2020</w:t>
      </w:r>
      <w:r>
        <w:t xml:space="preserve"> roku.</w:t>
      </w:r>
    </w:p>
    <w:p w14:paraId="6BDBF752" w14:textId="77777777" w:rsidR="001736CC" w:rsidRDefault="001736CC" w:rsidP="001736CC">
      <w:r>
        <w:t xml:space="preserve"> Poziom ograniczenia masy odpadów komunalnych ulegających biodegradacji przekazywanych do składowania (P</w:t>
      </w:r>
      <w:r w:rsidRPr="007C1E72">
        <w:rPr>
          <w:sz w:val="16"/>
          <w:szCs w:val="16"/>
        </w:rPr>
        <w:t>R</w:t>
      </w:r>
      <w:r>
        <w:t>), które gmina obowiązana jest osiągnąć w 2</w:t>
      </w:r>
      <w:r w:rsidR="007E6F08">
        <w:t>020</w:t>
      </w:r>
      <w:r>
        <w:t xml:space="preserve"> r. wykazany został w pkt 1.4.1 niniejszej analizy.</w:t>
      </w:r>
    </w:p>
    <w:p w14:paraId="70ABFDDF" w14:textId="77777777" w:rsidR="001736CC" w:rsidRDefault="008637B3" w:rsidP="001736CC">
      <w:r>
        <w:t>Osiągnięty w 2020</w:t>
      </w:r>
      <w:r w:rsidR="001736CC">
        <w:t xml:space="preserve"> r. poziom ograniczenia masy odpadów komunalnych ulegających biodegradacji przekazanych do składowania obliczany jest na podstawie wzoru z Rozporządzenia Ministra Środowiska z dnia 15 grudnia 2017 r. w sprawie poziomów ograniczenia masy odpadów komunalnych ulegających biodegradacji:</w:t>
      </w:r>
    </w:p>
    <w:p w14:paraId="1137423C" w14:textId="77777777" w:rsidR="001736CC" w:rsidRDefault="00505133" w:rsidP="001736CC">
      <w:r>
        <w:t xml:space="preserve">  </w:t>
      </w:r>
      <w:r w:rsidRPr="00607AA0">
        <w:rPr>
          <w:sz w:val="24"/>
          <w:szCs w:val="24"/>
        </w:rPr>
        <w:t xml:space="preserve">  </w:t>
      </w:r>
      <m:oMath>
        <m:r>
          <w:rPr>
            <w:rFonts w:ascii="Cambria Math" w:hAnsi="Cambria Math" w:cs="Cambria Math"/>
            <w:sz w:val="24"/>
            <w:szCs w:val="24"/>
          </w:rPr>
          <m:t>TR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M  OUBR x 100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OUB1995 x D</m:t>
            </m:r>
          </m:den>
        </m:f>
      </m:oMath>
      <w:r w:rsidRPr="00607AA0">
        <w:rPr>
          <w:rFonts w:eastAsiaTheme="minorEastAsia"/>
          <w:sz w:val="24"/>
          <w:szCs w:val="24"/>
        </w:rPr>
        <w:t xml:space="preserve"> [%]</w:t>
      </w:r>
      <w:r w:rsidR="001736CC" w:rsidRPr="004C6490">
        <w:rPr>
          <w:noProof/>
          <w:color w:val="333333"/>
          <w:sz w:val="21"/>
          <w:szCs w:val="21"/>
          <w:lang w:eastAsia="pl-PL"/>
        </w:rPr>
        <w:drawing>
          <wp:inline distT="0" distB="0" distL="0" distR="0" wp14:anchorId="7D10A412" wp14:editId="02734C84">
            <wp:extent cx="5760720" cy="325833"/>
            <wp:effectExtent l="0" t="0" r="0" b="0"/>
            <wp:docPr id="1" name="Obraz 1" descr="https://sip.legalis.pl/seam/resource/products/_371172273_eq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p.legalis.pl/seam/resource/products/_371172273_eq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4B2C5" w14:textId="77777777" w:rsidR="001736CC" w:rsidRPr="006B7171" w:rsidRDefault="001736CC" w:rsidP="001736CC">
      <w:pPr>
        <w:rPr>
          <w:rFonts w:ascii="Calibri" w:hAnsi="Calibri" w:cs="Calibri"/>
        </w:rPr>
      </w:pPr>
      <w:r w:rsidRPr="006B7171">
        <w:rPr>
          <w:rFonts w:ascii="Calibri" w:hAnsi="Calibri" w:cs="Calibri"/>
        </w:rPr>
        <w:t xml:space="preserve">M OUBR  = </w:t>
      </w:r>
      <w:r w:rsidR="005B41F8">
        <w:rPr>
          <w:rFonts w:ascii="Calibri" w:hAnsi="Calibri" w:cs="Calibri"/>
        </w:rPr>
        <w:t>7,980 Mg x 0,40 =3,192</w:t>
      </w:r>
      <w:r w:rsidRPr="006B7171">
        <w:rPr>
          <w:rFonts w:ascii="Calibri" w:hAnsi="Calibri" w:cs="Calibri"/>
        </w:rPr>
        <w:t xml:space="preserve"> Mg</w:t>
      </w:r>
    </w:p>
    <w:p w14:paraId="397AE12B" w14:textId="77777777" w:rsidR="001736CC" w:rsidRPr="006B7171" w:rsidRDefault="001736CC" w:rsidP="001736CC">
      <w:pPr>
        <w:rPr>
          <w:rFonts w:ascii="Calibri" w:hAnsi="Calibri" w:cs="Calibri"/>
          <w:color w:val="333333"/>
        </w:rPr>
      </w:pPr>
      <w:r w:rsidRPr="006B7171">
        <w:rPr>
          <w:rFonts w:ascii="Calibri" w:hAnsi="Calibri" w:cs="Calibri"/>
        </w:rPr>
        <w:t xml:space="preserve"> </w:t>
      </w:r>
      <w:r w:rsidRPr="006B7171">
        <w:rPr>
          <w:rFonts w:ascii="Calibri" w:hAnsi="Calibri" w:cs="Calibri"/>
          <w:i/>
          <w:iCs/>
          <w:color w:val="333333"/>
        </w:rPr>
        <w:t>M</w:t>
      </w:r>
      <w:r w:rsidRPr="006B7171">
        <w:rPr>
          <w:rFonts w:ascii="Calibri" w:hAnsi="Calibri" w:cs="Calibri"/>
          <w:i/>
          <w:iCs/>
          <w:color w:val="333333"/>
          <w:vertAlign w:val="subscript"/>
        </w:rPr>
        <w:t>OUBR</w:t>
      </w:r>
      <w:r w:rsidRPr="006B7171">
        <w:rPr>
          <w:rFonts w:ascii="Calibri" w:hAnsi="Calibri" w:cs="Calibri"/>
          <w:color w:val="333333"/>
        </w:rPr>
        <w:t> - masa odpadów ulegających biodegradacji zebranych, odebranych i przetworzonych ze strumienia odpadów komunalnych z obszaru danej gminy w danym roku sprawozdawczym, p</w:t>
      </w:r>
      <w:r w:rsidR="0069246F" w:rsidRPr="006B7171">
        <w:rPr>
          <w:rFonts w:ascii="Calibri" w:hAnsi="Calibri" w:cs="Calibri"/>
          <w:color w:val="333333"/>
        </w:rPr>
        <w:t>rzekazanych do składowania [Mg] w okresie od dnia 1 stycznia do 30 czerwca 2020 r,.</w:t>
      </w:r>
    </w:p>
    <w:p w14:paraId="3A1D11E7" w14:textId="77777777" w:rsidR="0069246F" w:rsidRPr="006B7171" w:rsidRDefault="005B41F8" w:rsidP="001736CC">
      <w:pPr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D=</w:t>
      </w:r>
      <m:oMath>
        <m:r>
          <w:rPr>
            <w:rFonts w:ascii="Cambria Math" w:hAnsi="Cambria Math"/>
          </w:rPr>
          <m:t>0,7708</m:t>
        </m:r>
      </m:oMath>
      <w:r w:rsidRPr="003462B4">
        <w:t xml:space="preserve">      </w:t>
      </w:r>
    </w:p>
    <w:p w14:paraId="0844983F" w14:textId="77777777" w:rsidR="00AA15A9" w:rsidRDefault="00AA15A9" w:rsidP="00AA15A9">
      <w:r>
        <w:t xml:space="preserve">D - wskaźnik uwzględniający zmiany demograficzne mieszkańców gminy </w:t>
      </w:r>
    </w:p>
    <w:p w14:paraId="4A916DBF" w14:textId="77777777" w:rsidR="00775752" w:rsidRDefault="00775752" w:rsidP="00AA15A9">
      <w:r>
        <w:t>OUB</w:t>
      </w:r>
      <w:r w:rsidRPr="00EB3D8D">
        <w:rPr>
          <w:sz w:val="16"/>
          <w:szCs w:val="16"/>
        </w:rPr>
        <w:t>1995</w:t>
      </w:r>
      <w:r>
        <w:t xml:space="preserve"> =(0,155x 1384+ 0,047 x 2805) x 1 = 346,355  Mg        </w:t>
      </w:r>
    </w:p>
    <w:p w14:paraId="482C0F74" w14:textId="77777777" w:rsidR="008637B3" w:rsidRDefault="006103DB" w:rsidP="006103DB">
      <w:r>
        <w:t>OUB</w:t>
      </w:r>
      <w:r w:rsidRPr="00EB3D8D">
        <w:rPr>
          <w:sz w:val="16"/>
          <w:szCs w:val="16"/>
        </w:rPr>
        <w:t>1995</w:t>
      </w:r>
      <w:r>
        <w:rPr>
          <w:sz w:val="16"/>
          <w:szCs w:val="16"/>
        </w:rPr>
        <w:t xml:space="preserve">- </w:t>
      </w:r>
      <w:r>
        <w:t>Łączna ilość odpadów ulegających biodegradacji w 1995 r. w przypadku Miasta i Gminy Górzno wynosi 346,355 Mg .Masę tych odpadów obliczono na podstawie Rozporządzenia Ministra Środowiska z dnia 15 grudnia 2017 r. w sprawie poziomów ograniczenia składowania masy odpadów komunalnych ulegających bi</w:t>
      </w:r>
      <w:r w:rsidR="008637B3">
        <w:t xml:space="preserve">odegradacji </w:t>
      </w:r>
    </w:p>
    <w:p w14:paraId="5D59B187" w14:textId="77777777" w:rsidR="006103DB" w:rsidRDefault="00EB0047" w:rsidP="006103DB">
      <w:r>
        <w:t xml:space="preserve">W 2020 </w:t>
      </w:r>
      <w:r w:rsidR="006103DB">
        <w:t>roku zgodnie z ww. rozporządzeniem masa odpadów komunalnych została przyjęta w połowie wielkości</w:t>
      </w:r>
      <w:r w:rsidR="00351909">
        <w:t xml:space="preserve"> (173,1775 Mg)</w:t>
      </w:r>
      <w:r w:rsidR="006103DB">
        <w:t>.</w:t>
      </w:r>
    </w:p>
    <w:p w14:paraId="54FC6075" w14:textId="77777777" w:rsidR="001736CC" w:rsidRDefault="001736CC" w:rsidP="001736CC"/>
    <w:p w14:paraId="710D4F3A" w14:textId="77777777" w:rsidR="001736CC" w:rsidRPr="00607AA0" w:rsidRDefault="001736CC" w:rsidP="001736CC">
      <w:pPr>
        <w:rPr>
          <w:rFonts w:eastAsiaTheme="minorEastAsia"/>
          <w:sz w:val="24"/>
          <w:szCs w:val="24"/>
        </w:rPr>
      </w:pPr>
      <w:r w:rsidRPr="009703BB">
        <w:lastRenderedPageBreak/>
        <w:t xml:space="preserve">  </w:t>
      </w:r>
      <w:r>
        <w:t xml:space="preserve">   </w:t>
      </w:r>
      <w:r w:rsidRPr="009703BB">
        <w:t xml:space="preserve">  </w:t>
      </w:r>
      <w:r w:rsidRPr="00607AA0">
        <w:rPr>
          <w:sz w:val="24"/>
          <w:szCs w:val="24"/>
        </w:rPr>
        <w:t xml:space="preserve">  </w:t>
      </w:r>
      <m:oMath>
        <m:r>
          <w:rPr>
            <w:rFonts w:ascii="Cambria Math" w:hAnsi="Cambria Math" w:cs="Cambria Math"/>
            <w:sz w:val="24"/>
            <w:szCs w:val="24"/>
          </w:rPr>
          <m:t>TR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3,192 x 100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 xml:space="preserve">173,1775 x0,7708 </m:t>
            </m:r>
          </m:den>
        </m:f>
      </m:oMath>
      <w:r w:rsidRPr="00607AA0">
        <w:rPr>
          <w:rFonts w:eastAsiaTheme="minorEastAsia"/>
          <w:sz w:val="24"/>
          <w:szCs w:val="24"/>
        </w:rPr>
        <w:t xml:space="preserve"> [%]</w:t>
      </w:r>
      <w:r w:rsidR="00F602E2">
        <w:rPr>
          <w:rFonts w:eastAsiaTheme="minorEastAsia"/>
          <w:sz w:val="24"/>
          <w:szCs w:val="24"/>
        </w:rPr>
        <w:t>=2,39</w:t>
      </w:r>
      <w:r w:rsidRPr="00607AA0">
        <w:rPr>
          <w:rFonts w:eastAsiaTheme="minorEastAsia"/>
          <w:sz w:val="24"/>
          <w:szCs w:val="24"/>
        </w:rPr>
        <w:t>[%]</w:t>
      </w:r>
      <w:r>
        <w:rPr>
          <w:rFonts w:eastAsiaTheme="minorEastAsia"/>
          <w:sz w:val="24"/>
          <w:szCs w:val="24"/>
        </w:rPr>
        <w:t xml:space="preserve">           </w:t>
      </w:r>
    </w:p>
    <w:p w14:paraId="26A56566" w14:textId="77777777" w:rsidR="001736CC" w:rsidRDefault="001736CC" w:rsidP="0069246F">
      <w:r>
        <w:t xml:space="preserve">TR - osiągany w danym roku poziom ograniczenia masy odpadów komunalnych ulegających biodegradacji przekazywanych do składowania [%];                                                                                            </w:t>
      </w:r>
    </w:p>
    <w:p w14:paraId="322FC150" w14:textId="77777777" w:rsidR="001736CC" w:rsidRDefault="001736CC" w:rsidP="001736CC">
      <w:r>
        <w:t>P</w:t>
      </w:r>
      <w:r w:rsidRPr="00FD37CB">
        <w:rPr>
          <w:sz w:val="16"/>
          <w:szCs w:val="16"/>
        </w:rPr>
        <w:t>R</w:t>
      </w:r>
      <w:r>
        <w:t>-poziom ograniczania masy odpadów komunalnych ulegających biodegradacji przekazywanych do składowania.</w:t>
      </w:r>
    </w:p>
    <w:p w14:paraId="6D17E9EF" w14:textId="77777777" w:rsidR="001736CC" w:rsidRPr="00C706A7" w:rsidRDefault="001736CC" w:rsidP="001736CC">
      <w:pPr>
        <w:rPr>
          <w:rFonts w:cstheme="minorHAnsi"/>
        </w:rPr>
      </w:pPr>
      <w:r>
        <w:t>Jeżeli TR=PR albo TR</w:t>
      </w:r>
      <w:r>
        <w:rPr>
          <w:rFonts w:cstheme="minorHAnsi"/>
        </w:rPr>
        <w:t>&lt;PR- poziom ograniczenia masy odpadów komunalnych ulegających biodegradacji przekazywanych do składowania w danym roku został osiągnięty.</w:t>
      </w:r>
    </w:p>
    <w:p w14:paraId="497667CA" w14:textId="77777777" w:rsidR="001736CC" w:rsidRDefault="0069246F" w:rsidP="001736CC">
      <w:r>
        <w:rPr>
          <w:rFonts w:cstheme="minorHAnsi"/>
        </w:rPr>
        <w:t>W 2020</w:t>
      </w:r>
      <w:r w:rsidR="001736CC">
        <w:rPr>
          <w:rFonts w:cstheme="minorHAnsi"/>
        </w:rPr>
        <w:t xml:space="preserve"> T</w:t>
      </w:r>
      <w:r w:rsidR="001736CC" w:rsidRPr="004111A6">
        <w:rPr>
          <w:rFonts w:cstheme="minorHAnsi"/>
          <w:sz w:val="16"/>
          <w:szCs w:val="16"/>
        </w:rPr>
        <w:t>R</w:t>
      </w:r>
      <w:r w:rsidR="001736CC">
        <w:rPr>
          <w:rFonts w:cstheme="minorHAnsi"/>
        </w:rPr>
        <w:t xml:space="preserve"> wynosił  </w:t>
      </w:r>
      <w:r w:rsidR="006B7171">
        <w:rPr>
          <w:rFonts w:cstheme="minorHAnsi"/>
        </w:rPr>
        <w:t>2,39</w:t>
      </w:r>
      <w:r w:rsidR="001736CC">
        <w:rPr>
          <w:rFonts w:cstheme="minorHAnsi"/>
        </w:rPr>
        <w:t xml:space="preserve"> % a więc wymagany poziom ograniczenia masy odpadów komunalnych ulegających biodegradacji przekazywanych do składowania dla Miasta i Gminy Górzno w ww. roku został osiągnięty.</w:t>
      </w:r>
    </w:p>
    <w:p w14:paraId="5E7894DC" w14:textId="77777777" w:rsidR="001736CC" w:rsidRDefault="001736CC" w:rsidP="001736CC"/>
    <w:p w14:paraId="52F3AC04" w14:textId="77777777" w:rsidR="001736CC" w:rsidRDefault="001736CC" w:rsidP="001736CC">
      <w:r>
        <w:t>5.3.3 Łączna ilość odpadów komunalnych wytworzonych na terenie Miasta i Gminy G</w:t>
      </w:r>
      <w:r w:rsidR="00F06237">
        <w:t>órzno w 2020</w:t>
      </w:r>
      <w:r>
        <w:t xml:space="preserve"> roku.</w:t>
      </w:r>
    </w:p>
    <w:p w14:paraId="691AE51A" w14:textId="77777777" w:rsidR="001736CC" w:rsidRDefault="001736CC" w:rsidP="001736CC">
      <w:r>
        <w:t>Łączna ilość odpadów komunalnych wytworzonych na terenie Mia</w:t>
      </w:r>
      <w:r w:rsidR="001B1E74">
        <w:t>sta i Gminy Górzno wynosiła  996,755</w:t>
      </w:r>
      <w:r>
        <w:t xml:space="preserve"> M</w:t>
      </w:r>
      <w:r w:rsidR="001B1E74">
        <w:t>g  w tym zebrane w PSZOK  63,580</w:t>
      </w:r>
      <w:r>
        <w:t xml:space="preserve"> Mg.</w:t>
      </w:r>
    </w:p>
    <w:p w14:paraId="47D3F382" w14:textId="77777777" w:rsidR="001736CC" w:rsidRDefault="001736CC" w:rsidP="001736CC">
      <w:r>
        <w:t xml:space="preserve"> Masa odebranych odpadów z terenu Miasta i Gminy Górzno z podziałem na odebrane z nieruchomości zamieszkałych i niezamieszkałych oraz PSZOK z uwzględnieniem rodzaju odpadu wg kodu oraz sposobu ich zagospodarowania.</w:t>
      </w:r>
    </w:p>
    <w:p w14:paraId="29318CA2" w14:textId="77777777" w:rsidR="00721797" w:rsidRDefault="00721797" w:rsidP="001736CC"/>
    <w:p w14:paraId="6CECE47D" w14:textId="77777777" w:rsidR="001736CC" w:rsidRDefault="001736CC" w:rsidP="001736CC">
      <w:r>
        <w:t xml:space="preserve">                    ODPADY ODEBRANE Z NIERUCHOMOŚCI ZAMIESZKAŁYCH I NIEZAMIESZKAŁYCH</w:t>
      </w: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712"/>
        <w:gridCol w:w="1990"/>
        <w:gridCol w:w="20"/>
        <w:gridCol w:w="2106"/>
      </w:tblGrid>
      <w:tr w:rsidR="001736CC" w:rsidRPr="008547F3" w14:paraId="6BAEEB02" w14:textId="77777777" w:rsidTr="009C72C8">
        <w:trPr>
          <w:trHeight w:val="728"/>
          <w:jc w:val="center"/>
        </w:trPr>
        <w:tc>
          <w:tcPr>
            <w:tcW w:w="1260" w:type="dxa"/>
            <w:shd w:val="clear" w:color="000000" w:fill="D9D9D9"/>
            <w:vAlign w:val="center"/>
            <w:hideMark/>
          </w:tcPr>
          <w:p w14:paraId="57066DBE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 w:rsidRPr="008547F3">
              <w:rPr>
                <w:rFonts w:eastAsia="Times New Roman" w:cs="Times New Roman"/>
                <w:sz w:val="20"/>
              </w:rPr>
              <w:t>Kod odpadów</w:t>
            </w:r>
          </w:p>
        </w:tc>
        <w:tc>
          <w:tcPr>
            <w:tcW w:w="1712" w:type="dxa"/>
            <w:shd w:val="clear" w:color="000000" w:fill="D9D9D9"/>
            <w:vAlign w:val="center"/>
          </w:tcPr>
          <w:p w14:paraId="2CAD063D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  <w:vertAlign w:val="superscript"/>
              </w:rPr>
            </w:pPr>
            <w:r w:rsidRPr="008547F3">
              <w:rPr>
                <w:rFonts w:eastAsia="Times New Roman" w:cs="Times New Roman"/>
                <w:sz w:val="20"/>
              </w:rPr>
              <w:t>Rodzaj odpadów</w:t>
            </w:r>
          </w:p>
        </w:tc>
        <w:tc>
          <w:tcPr>
            <w:tcW w:w="1990" w:type="dxa"/>
            <w:shd w:val="clear" w:color="000000" w:fill="D9D9D9"/>
            <w:vAlign w:val="center"/>
            <w:hideMark/>
          </w:tcPr>
          <w:p w14:paraId="04D52170" w14:textId="77777777" w:rsidR="009C72C8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 w:rsidRPr="008547F3">
              <w:rPr>
                <w:rFonts w:eastAsia="Times New Roman" w:cs="Times New Roman"/>
                <w:sz w:val="20"/>
              </w:rPr>
              <w:t>Masa odebranych odpadów komunalnych przekazanych</w:t>
            </w:r>
            <w:r>
              <w:rPr>
                <w:rFonts w:eastAsia="Times New Roman" w:cs="Times New Roman"/>
                <w:sz w:val="20"/>
              </w:rPr>
              <w:t xml:space="preserve"> d</w:t>
            </w:r>
            <w:r w:rsidRPr="008547F3">
              <w:rPr>
                <w:rFonts w:eastAsia="Times New Roman" w:cs="Times New Roman"/>
                <w:sz w:val="20"/>
              </w:rPr>
              <w:t>o</w:t>
            </w:r>
            <w:r>
              <w:rPr>
                <w:rFonts w:eastAsia="Times New Roman" w:cs="Times New Roman"/>
                <w:sz w:val="20"/>
              </w:rPr>
              <w:t> </w:t>
            </w:r>
            <w:r w:rsidRPr="008547F3">
              <w:rPr>
                <w:rFonts w:eastAsia="Times New Roman" w:cs="Times New Roman"/>
                <w:sz w:val="20"/>
              </w:rPr>
              <w:t>zagospodarowania</w:t>
            </w:r>
          </w:p>
          <w:p w14:paraId="7F707FE7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 w:rsidRPr="008547F3">
              <w:rPr>
                <w:rFonts w:eastAsia="Times New Roman" w:cs="Times New Roman"/>
                <w:sz w:val="20"/>
              </w:rPr>
              <w:t>[Mg]</w:t>
            </w:r>
          </w:p>
        </w:tc>
        <w:tc>
          <w:tcPr>
            <w:tcW w:w="2126" w:type="dxa"/>
            <w:gridSpan w:val="2"/>
            <w:shd w:val="clear" w:color="000000" w:fill="D9D9D9"/>
            <w:vAlign w:val="center"/>
            <w:hideMark/>
          </w:tcPr>
          <w:p w14:paraId="19E7C64B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 w:rsidRPr="008547F3">
              <w:rPr>
                <w:rFonts w:eastAsia="Times New Roman" w:cs="Times New Roman"/>
                <w:sz w:val="20"/>
              </w:rPr>
              <w:t>Sposób zagospodarowania odebranych odpadów komunalnych</w:t>
            </w:r>
          </w:p>
        </w:tc>
      </w:tr>
      <w:tr w:rsidR="001736CC" w:rsidRPr="008547F3" w14:paraId="3CA97F56" w14:textId="77777777" w:rsidTr="009C72C8">
        <w:trPr>
          <w:trHeight w:val="53"/>
          <w:jc w:val="center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07A9BAC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20 03 01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AB2D758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Niesegregowane (zmieszane) odpady komunalne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69FC3E35" w14:textId="77777777" w:rsidR="001736CC" w:rsidRPr="008547F3" w:rsidRDefault="00F06237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630,72</w:t>
            </w:r>
            <w:r w:rsidR="001736CC">
              <w:rPr>
                <w:rFonts w:eastAsia="Times New Roman" w:cs="Times New Roman"/>
                <w:b/>
                <w:sz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14:paraId="0CEB5F08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R12</w:t>
            </w:r>
          </w:p>
        </w:tc>
      </w:tr>
      <w:tr w:rsidR="001736CC" w:rsidRPr="008547F3" w14:paraId="4F3D1051" w14:textId="77777777" w:rsidTr="009C72C8">
        <w:trPr>
          <w:trHeight w:val="53"/>
          <w:jc w:val="center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D86E061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15 01 02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A5AD6C8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Opakowania z tworzyw sztucznych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19EEA5ED" w14:textId="77777777" w:rsidR="001736CC" w:rsidRPr="00DA1C25" w:rsidRDefault="00F06237" w:rsidP="00A51E1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0,035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14:paraId="736044D2" w14:textId="77777777" w:rsidR="001736CC" w:rsidRPr="008547F3" w:rsidRDefault="00BF50FE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R3</w:t>
            </w:r>
          </w:p>
        </w:tc>
      </w:tr>
      <w:tr w:rsidR="001736CC" w:rsidRPr="008547F3" w14:paraId="6E4A13FB" w14:textId="77777777" w:rsidTr="009C72C8">
        <w:trPr>
          <w:trHeight w:val="53"/>
          <w:jc w:val="center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4A7E025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15 01 06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74EDAC8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Zmieszane odpady opakowaniowe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572C27DC" w14:textId="77777777" w:rsidR="001736CC" w:rsidRPr="00DA1C25" w:rsidRDefault="00F06237" w:rsidP="00A51E1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250,3</w:t>
            </w:r>
            <w:r w:rsidR="001736CC" w:rsidRPr="00DA1C25">
              <w:rPr>
                <w:rFonts w:eastAsia="Times New Roman" w:cs="Times New Roman"/>
                <w:b/>
                <w:sz w:val="20"/>
              </w:rPr>
              <w:t>00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14:paraId="540210C4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R12</w:t>
            </w:r>
          </w:p>
        </w:tc>
      </w:tr>
      <w:tr w:rsidR="001736CC" w:rsidRPr="008547F3" w14:paraId="115C5046" w14:textId="77777777" w:rsidTr="009C72C8">
        <w:trPr>
          <w:trHeight w:val="53"/>
          <w:jc w:val="center"/>
        </w:trPr>
        <w:tc>
          <w:tcPr>
            <w:tcW w:w="1260" w:type="dxa"/>
            <w:shd w:val="clear" w:color="auto" w:fill="auto"/>
            <w:noWrap/>
            <w:vAlign w:val="center"/>
          </w:tcPr>
          <w:p w14:paraId="2AED69CA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15 01 07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100298B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Opakowania ze szkła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 w14:paraId="2E46BE6C" w14:textId="77777777" w:rsidR="001736CC" w:rsidRPr="00DA1C25" w:rsidRDefault="00F06237" w:rsidP="00A51E1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0,680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14:paraId="6B03F1B3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R12</w:t>
            </w:r>
          </w:p>
        </w:tc>
      </w:tr>
      <w:tr w:rsidR="001736CC" w:rsidRPr="008547F3" w14:paraId="79D2634A" w14:textId="77777777" w:rsidTr="009C72C8">
        <w:trPr>
          <w:trHeight w:val="53"/>
          <w:jc w:val="center"/>
        </w:trPr>
        <w:tc>
          <w:tcPr>
            <w:tcW w:w="1260" w:type="dxa"/>
            <w:shd w:val="clear" w:color="auto" w:fill="auto"/>
            <w:noWrap/>
            <w:vAlign w:val="center"/>
          </w:tcPr>
          <w:p w14:paraId="1D8044CE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20 03 99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CDC4F3A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Odpady komunalne niewymienione </w:t>
            </w:r>
            <w:r w:rsidR="00F06237">
              <w:rPr>
                <w:rFonts w:eastAsia="Times New Roman" w:cs="Times New Roman"/>
                <w:sz w:val="20"/>
              </w:rPr>
              <w:t>w innych podgrupach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 w14:paraId="0AD84D59" w14:textId="77777777" w:rsidR="001736CC" w:rsidRPr="00DA1C25" w:rsidRDefault="00F06237" w:rsidP="00A51E1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4,22</w:t>
            </w:r>
            <w:r w:rsidR="001736CC" w:rsidRPr="00DA1C25">
              <w:rPr>
                <w:rFonts w:eastAsia="Times New Roman" w:cs="Times New Roman"/>
                <w:b/>
                <w:sz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14:paraId="271C0AAD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R12</w:t>
            </w:r>
          </w:p>
        </w:tc>
      </w:tr>
      <w:tr w:rsidR="001736CC" w:rsidRPr="008547F3" w14:paraId="2B7DEF16" w14:textId="77777777" w:rsidTr="009C72C8">
        <w:trPr>
          <w:trHeight w:val="53"/>
          <w:jc w:val="center"/>
        </w:trPr>
        <w:tc>
          <w:tcPr>
            <w:tcW w:w="1260" w:type="dxa"/>
            <w:shd w:val="clear" w:color="auto" w:fill="auto"/>
            <w:noWrap/>
            <w:vAlign w:val="center"/>
          </w:tcPr>
          <w:p w14:paraId="173802EC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lastRenderedPageBreak/>
              <w:t>20 01 36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AD4E715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Zużyte urządzenia elektryczne i elektroniczne inne niż wymienione w 20 01 21,20 01 23, 20 01 35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 w14:paraId="34B1F82E" w14:textId="77777777" w:rsidR="001736CC" w:rsidRPr="00DA1C25" w:rsidRDefault="0014223F" w:rsidP="00A51E1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3,8</w:t>
            </w:r>
            <w:r w:rsidR="001736CC" w:rsidRPr="00DA1C25">
              <w:rPr>
                <w:rFonts w:eastAsia="Times New Roman" w:cs="Times New Roman"/>
                <w:b/>
                <w:sz w:val="20"/>
              </w:rPr>
              <w:t>20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14:paraId="2A8AD79A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R12</w:t>
            </w:r>
          </w:p>
        </w:tc>
      </w:tr>
      <w:tr w:rsidR="001736CC" w:rsidRPr="008547F3" w14:paraId="30180E2E" w14:textId="77777777" w:rsidTr="009C72C8">
        <w:trPr>
          <w:trHeight w:val="53"/>
          <w:jc w:val="center"/>
        </w:trPr>
        <w:tc>
          <w:tcPr>
            <w:tcW w:w="1260" w:type="dxa"/>
            <w:shd w:val="clear" w:color="auto" w:fill="auto"/>
            <w:noWrap/>
            <w:vAlign w:val="center"/>
          </w:tcPr>
          <w:p w14:paraId="1949E50E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16 01 03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2E4F731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Zużyte opony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 w14:paraId="64EBF9FA" w14:textId="77777777" w:rsidR="001736CC" w:rsidRPr="00DA1C25" w:rsidRDefault="0014223F" w:rsidP="00A51E1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2,28</w:t>
            </w:r>
            <w:r w:rsidR="001736CC" w:rsidRPr="00DA1C25">
              <w:rPr>
                <w:rFonts w:eastAsia="Times New Roman" w:cs="Times New Roman"/>
                <w:b/>
                <w:sz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14:paraId="4BE1CA3B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R5</w:t>
            </w:r>
          </w:p>
        </w:tc>
      </w:tr>
      <w:tr w:rsidR="001736CC" w14:paraId="36376F2C" w14:textId="77777777" w:rsidTr="009C72C8">
        <w:trPr>
          <w:trHeight w:val="53"/>
          <w:jc w:val="center"/>
        </w:trPr>
        <w:tc>
          <w:tcPr>
            <w:tcW w:w="1260" w:type="dxa"/>
            <w:shd w:val="clear" w:color="auto" w:fill="auto"/>
            <w:noWrap/>
            <w:vAlign w:val="center"/>
          </w:tcPr>
          <w:p w14:paraId="25E4BEE6" w14:textId="77777777" w:rsidR="001736CC" w:rsidRDefault="0014223F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20 01 39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37C3C45" w14:textId="77777777" w:rsidR="001736CC" w:rsidRDefault="0014223F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Tworzywa sztuczne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 w14:paraId="6020FE2D" w14:textId="77777777" w:rsidR="001736CC" w:rsidRPr="00DA1C25" w:rsidRDefault="0014223F" w:rsidP="00A51E1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0,220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14:paraId="6CC3FFC1" w14:textId="77777777" w:rsidR="001736CC" w:rsidRDefault="0014223F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R12</w:t>
            </w:r>
          </w:p>
        </w:tc>
      </w:tr>
      <w:tr w:rsidR="0014223F" w14:paraId="0FFCAEDF" w14:textId="77777777" w:rsidTr="009C72C8">
        <w:trPr>
          <w:trHeight w:val="53"/>
          <w:jc w:val="center"/>
        </w:trPr>
        <w:tc>
          <w:tcPr>
            <w:tcW w:w="1260" w:type="dxa"/>
            <w:shd w:val="clear" w:color="auto" w:fill="auto"/>
            <w:noWrap/>
            <w:vAlign w:val="center"/>
          </w:tcPr>
          <w:p w14:paraId="07B0BFBB" w14:textId="77777777" w:rsidR="0014223F" w:rsidRDefault="0014223F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20 03 07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2B82D1F" w14:textId="77777777" w:rsidR="0014223F" w:rsidRDefault="009C72C8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Odpady wielkogabarytowe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 w14:paraId="0EA7BCFB" w14:textId="77777777" w:rsidR="0014223F" w:rsidRDefault="002217B0" w:rsidP="00A51E1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7,42</w:t>
            </w:r>
            <w:r w:rsidR="0014223F">
              <w:rPr>
                <w:rFonts w:eastAsia="Times New Roman" w:cs="Times New Roman"/>
                <w:b/>
                <w:sz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14:paraId="54099DEF" w14:textId="77777777" w:rsidR="0014223F" w:rsidRDefault="009C72C8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R12</w:t>
            </w:r>
          </w:p>
        </w:tc>
      </w:tr>
      <w:tr w:rsidR="001736CC" w14:paraId="5A80D144" w14:textId="77777777" w:rsidTr="009C72C8">
        <w:trPr>
          <w:trHeight w:val="53"/>
          <w:jc w:val="center"/>
        </w:trPr>
        <w:tc>
          <w:tcPr>
            <w:tcW w:w="1260" w:type="dxa"/>
            <w:shd w:val="clear" w:color="BFBFBF" w:themeColor="background1" w:themeShade="BF" w:fill="auto"/>
            <w:noWrap/>
          </w:tcPr>
          <w:p w14:paraId="6BCD5AB4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20 02 01</w:t>
            </w:r>
          </w:p>
        </w:tc>
        <w:tc>
          <w:tcPr>
            <w:tcW w:w="1712" w:type="dxa"/>
            <w:shd w:val="clear" w:color="BFBFBF" w:themeColor="background1" w:themeShade="BF" w:fill="auto"/>
          </w:tcPr>
          <w:p w14:paraId="401DA659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Odpady ulegające biodegradacji</w:t>
            </w:r>
          </w:p>
        </w:tc>
        <w:tc>
          <w:tcPr>
            <w:tcW w:w="1990" w:type="dxa"/>
            <w:shd w:val="clear" w:color="BFBFBF" w:themeColor="background1" w:themeShade="BF" w:fill="auto"/>
            <w:noWrap/>
          </w:tcPr>
          <w:p w14:paraId="4C838105" w14:textId="77777777" w:rsidR="001736CC" w:rsidRPr="00097A42" w:rsidRDefault="00DE2789" w:rsidP="00A51E1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27,060</w:t>
            </w:r>
          </w:p>
        </w:tc>
        <w:tc>
          <w:tcPr>
            <w:tcW w:w="2126" w:type="dxa"/>
            <w:gridSpan w:val="2"/>
            <w:shd w:val="clear" w:color="BFBFBF" w:themeColor="background1" w:themeShade="BF" w:fill="auto"/>
            <w:noWrap/>
          </w:tcPr>
          <w:p w14:paraId="6BF96ABD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R3</w:t>
            </w:r>
          </w:p>
        </w:tc>
      </w:tr>
      <w:tr w:rsidR="009C72C8" w14:paraId="01A07D56" w14:textId="77777777" w:rsidTr="009C72C8">
        <w:trPr>
          <w:trHeight w:val="53"/>
          <w:jc w:val="center"/>
        </w:trPr>
        <w:tc>
          <w:tcPr>
            <w:tcW w:w="1260" w:type="dxa"/>
            <w:shd w:val="clear" w:color="BFBFBF" w:themeColor="background1" w:themeShade="BF" w:fill="auto"/>
            <w:noWrap/>
          </w:tcPr>
          <w:p w14:paraId="1AE8FA3E" w14:textId="77777777" w:rsidR="009C72C8" w:rsidRDefault="009C72C8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20 01 08</w:t>
            </w:r>
          </w:p>
        </w:tc>
        <w:tc>
          <w:tcPr>
            <w:tcW w:w="1712" w:type="dxa"/>
            <w:shd w:val="clear" w:color="BFBFBF" w:themeColor="background1" w:themeShade="BF" w:fill="auto"/>
          </w:tcPr>
          <w:p w14:paraId="76D4DC82" w14:textId="77777777" w:rsidR="009C72C8" w:rsidRDefault="009C72C8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Odpady kuchenne ulegające biodegradacji</w:t>
            </w:r>
          </w:p>
        </w:tc>
        <w:tc>
          <w:tcPr>
            <w:tcW w:w="1990" w:type="dxa"/>
            <w:shd w:val="clear" w:color="BFBFBF" w:themeColor="background1" w:themeShade="BF" w:fill="auto"/>
            <w:noWrap/>
          </w:tcPr>
          <w:p w14:paraId="5F1C6C13" w14:textId="77777777" w:rsidR="009C72C8" w:rsidRPr="00097A42" w:rsidRDefault="009C72C8" w:rsidP="00A51E1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3,900</w:t>
            </w:r>
          </w:p>
        </w:tc>
        <w:tc>
          <w:tcPr>
            <w:tcW w:w="2126" w:type="dxa"/>
            <w:gridSpan w:val="2"/>
            <w:shd w:val="clear" w:color="BFBFBF" w:themeColor="background1" w:themeShade="BF" w:fill="auto"/>
            <w:noWrap/>
          </w:tcPr>
          <w:p w14:paraId="606AF0B0" w14:textId="77777777" w:rsidR="009C72C8" w:rsidRDefault="009C72C8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R3</w:t>
            </w:r>
          </w:p>
        </w:tc>
      </w:tr>
      <w:tr w:rsidR="009C72C8" w14:paraId="01653A61" w14:textId="77777777" w:rsidTr="009C72C8">
        <w:trPr>
          <w:trHeight w:val="53"/>
          <w:jc w:val="center"/>
        </w:trPr>
        <w:tc>
          <w:tcPr>
            <w:tcW w:w="1260" w:type="dxa"/>
            <w:shd w:val="clear" w:color="BFBFBF" w:themeColor="background1" w:themeShade="BF" w:fill="auto"/>
            <w:noWrap/>
          </w:tcPr>
          <w:p w14:paraId="04F50737" w14:textId="77777777" w:rsidR="009C72C8" w:rsidRDefault="00DE2789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17 03 80</w:t>
            </w:r>
          </w:p>
        </w:tc>
        <w:tc>
          <w:tcPr>
            <w:tcW w:w="1712" w:type="dxa"/>
            <w:shd w:val="clear" w:color="BFBFBF" w:themeColor="background1" w:themeShade="BF" w:fill="auto"/>
          </w:tcPr>
          <w:p w14:paraId="47227A96" w14:textId="77777777" w:rsidR="009C72C8" w:rsidRDefault="00DE2789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Odpadowa papa</w:t>
            </w:r>
          </w:p>
        </w:tc>
        <w:tc>
          <w:tcPr>
            <w:tcW w:w="1990" w:type="dxa"/>
            <w:shd w:val="clear" w:color="BFBFBF" w:themeColor="background1" w:themeShade="BF" w:fill="auto"/>
            <w:noWrap/>
          </w:tcPr>
          <w:p w14:paraId="10C594E9" w14:textId="77777777" w:rsidR="009C72C8" w:rsidRPr="00097A42" w:rsidRDefault="00DE2789" w:rsidP="00A51E1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2,520</w:t>
            </w:r>
          </w:p>
        </w:tc>
        <w:tc>
          <w:tcPr>
            <w:tcW w:w="2126" w:type="dxa"/>
            <w:gridSpan w:val="2"/>
            <w:shd w:val="clear" w:color="BFBFBF" w:themeColor="background1" w:themeShade="BF" w:fill="auto"/>
            <w:noWrap/>
          </w:tcPr>
          <w:p w14:paraId="06EE5CA8" w14:textId="77777777" w:rsidR="009C72C8" w:rsidRDefault="00DE2789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D5</w:t>
            </w:r>
          </w:p>
        </w:tc>
      </w:tr>
      <w:tr w:rsidR="001736CC" w14:paraId="18477F68" w14:textId="77777777" w:rsidTr="00A51E17">
        <w:trPr>
          <w:gridAfter w:val="1"/>
          <w:wAfter w:w="2106" w:type="dxa"/>
          <w:trHeight w:val="53"/>
          <w:jc w:val="center"/>
        </w:trPr>
        <w:tc>
          <w:tcPr>
            <w:tcW w:w="4982" w:type="dxa"/>
            <w:gridSpan w:val="4"/>
            <w:shd w:val="clear" w:color="BFBFBF" w:themeColor="background1" w:themeShade="BF" w:fill="auto"/>
            <w:noWrap/>
          </w:tcPr>
          <w:p w14:paraId="237D4833" w14:textId="77777777" w:rsidR="001736CC" w:rsidRPr="00097A42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 xml:space="preserve">                                                            SUMA</w:t>
            </w:r>
          </w:p>
        </w:tc>
      </w:tr>
      <w:tr w:rsidR="001736CC" w14:paraId="44BDB7AF" w14:textId="77777777" w:rsidTr="00A51E17">
        <w:trPr>
          <w:gridAfter w:val="1"/>
          <w:wAfter w:w="2106" w:type="dxa"/>
          <w:trHeight w:val="53"/>
          <w:jc w:val="center"/>
        </w:trPr>
        <w:tc>
          <w:tcPr>
            <w:tcW w:w="4982" w:type="dxa"/>
            <w:gridSpan w:val="4"/>
            <w:shd w:val="clear" w:color="BFBFBF" w:themeColor="background1" w:themeShade="BF" w:fill="auto"/>
            <w:noWrap/>
          </w:tcPr>
          <w:p w14:paraId="09EF8493" w14:textId="77777777" w:rsidR="001736CC" w:rsidRPr="00097A42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 xml:space="preserve">                                 </w:t>
            </w:r>
            <w:r w:rsidR="00DE2789">
              <w:rPr>
                <w:rFonts w:eastAsia="Times New Roman" w:cs="Times New Roman"/>
                <w:b/>
                <w:sz w:val="20"/>
              </w:rPr>
              <w:t xml:space="preserve">                          </w:t>
            </w:r>
            <w:r w:rsidR="002217B0">
              <w:rPr>
                <w:rFonts w:eastAsia="Times New Roman" w:cs="Times New Roman"/>
                <w:b/>
                <w:sz w:val="20"/>
              </w:rPr>
              <w:t xml:space="preserve">   933,1</w:t>
            </w:r>
            <w:r w:rsidR="00DE2789">
              <w:rPr>
                <w:rFonts w:eastAsia="Times New Roman" w:cs="Times New Roman"/>
                <w:b/>
                <w:sz w:val="20"/>
              </w:rPr>
              <w:t>75</w:t>
            </w:r>
          </w:p>
        </w:tc>
      </w:tr>
    </w:tbl>
    <w:p w14:paraId="3D3C8037" w14:textId="77777777" w:rsidR="001736CC" w:rsidRDefault="001736CC" w:rsidP="001736CC"/>
    <w:p w14:paraId="550F92A6" w14:textId="77777777" w:rsidR="001736CC" w:rsidRDefault="001736CC" w:rsidP="001736CC">
      <w:r>
        <w:t xml:space="preserve">                        </w:t>
      </w:r>
    </w:p>
    <w:p w14:paraId="5179CDE2" w14:textId="77777777" w:rsidR="001736CC" w:rsidRDefault="001736CC" w:rsidP="001736CC"/>
    <w:p w14:paraId="48DC404D" w14:textId="77777777" w:rsidR="001736CC" w:rsidRDefault="001736CC" w:rsidP="001736CC">
      <w:r>
        <w:t xml:space="preserve">                                                         ODPADY ODEBRANE Z PSZOK</w:t>
      </w:r>
    </w:p>
    <w:p w14:paraId="449BA4B6" w14:textId="77777777" w:rsidR="001736CC" w:rsidRDefault="001736CC" w:rsidP="001736CC">
      <w:r>
        <w:t xml:space="preserve">                   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"/>
        <w:gridCol w:w="1527"/>
        <w:gridCol w:w="1810"/>
        <w:gridCol w:w="2159"/>
      </w:tblGrid>
      <w:tr w:rsidR="001736CC" w:rsidRPr="008547F3" w14:paraId="3F03A84A" w14:textId="77777777" w:rsidTr="00A51E17">
        <w:trPr>
          <w:trHeight w:val="1230"/>
          <w:jc w:val="center"/>
        </w:trPr>
        <w:tc>
          <w:tcPr>
            <w:tcW w:w="1587" w:type="dxa"/>
            <w:shd w:val="clear" w:color="000000" w:fill="D9D9D9"/>
            <w:vAlign w:val="center"/>
            <w:hideMark/>
          </w:tcPr>
          <w:p w14:paraId="220AB2AF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 w:rsidRPr="008547F3">
              <w:rPr>
                <w:rFonts w:eastAsia="Times New Roman" w:cs="Times New Roman"/>
                <w:sz w:val="20"/>
              </w:rPr>
              <w:t>Kod</w:t>
            </w:r>
          </w:p>
          <w:p w14:paraId="0F75B1E1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 w:rsidRPr="008547F3">
              <w:rPr>
                <w:rFonts w:eastAsia="Times New Roman" w:cs="Times New Roman"/>
                <w:sz w:val="20"/>
              </w:rPr>
              <w:t>odpadów</w:t>
            </w:r>
          </w:p>
        </w:tc>
        <w:tc>
          <w:tcPr>
            <w:tcW w:w="1527" w:type="dxa"/>
            <w:shd w:val="clear" w:color="000000" w:fill="D9D9D9"/>
            <w:vAlign w:val="center"/>
            <w:hideMark/>
          </w:tcPr>
          <w:p w14:paraId="3135B119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 w:rsidRPr="008547F3">
              <w:rPr>
                <w:rFonts w:eastAsia="Times New Roman" w:cs="Times New Roman"/>
                <w:sz w:val="20"/>
              </w:rPr>
              <w:t>Rodzaj odpadów</w:t>
            </w:r>
          </w:p>
        </w:tc>
        <w:tc>
          <w:tcPr>
            <w:tcW w:w="1810" w:type="dxa"/>
            <w:shd w:val="clear" w:color="000000" w:fill="D9D9D9"/>
            <w:vAlign w:val="center"/>
          </w:tcPr>
          <w:p w14:paraId="73D7D3EF" w14:textId="77777777" w:rsidR="001736CC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 w:rsidRPr="008547F3">
              <w:rPr>
                <w:rFonts w:eastAsia="Times New Roman" w:cs="Times New Roman"/>
                <w:sz w:val="20"/>
              </w:rPr>
              <w:t xml:space="preserve">Masa zebranych odpadów komunalnych przekazanych </w:t>
            </w:r>
          </w:p>
          <w:p w14:paraId="39EA7F72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 w:rsidRPr="008547F3">
              <w:rPr>
                <w:rFonts w:eastAsia="Times New Roman" w:cs="Times New Roman"/>
                <w:sz w:val="20"/>
              </w:rPr>
              <w:t>do zagospodarowania [Mg]</w:t>
            </w:r>
          </w:p>
        </w:tc>
        <w:tc>
          <w:tcPr>
            <w:tcW w:w="2159" w:type="dxa"/>
            <w:shd w:val="clear" w:color="000000" w:fill="D9D9D9"/>
            <w:vAlign w:val="center"/>
            <w:hideMark/>
          </w:tcPr>
          <w:p w14:paraId="7428098F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 w:rsidRPr="008547F3">
              <w:rPr>
                <w:rFonts w:eastAsia="Times New Roman" w:cs="Times New Roman"/>
                <w:sz w:val="20"/>
              </w:rPr>
              <w:t>Sposób zagospodarowania zebranych odpadów komunalnych</w:t>
            </w:r>
          </w:p>
        </w:tc>
      </w:tr>
      <w:tr w:rsidR="001736CC" w:rsidRPr="008547F3" w14:paraId="2231547F" w14:textId="77777777" w:rsidTr="00A51E17">
        <w:trPr>
          <w:trHeight w:val="53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A5BE3BF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15 01 02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023CC718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Opakowania z tworzyw sztucznych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0AE99BD" w14:textId="77777777" w:rsidR="001736CC" w:rsidRPr="00CF40C1" w:rsidRDefault="002217B0" w:rsidP="00A51E1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2,54</w:t>
            </w:r>
            <w:r w:rsidR="001736CC" w:rsidRPr="00CF40C1">
              <w:rPr>
                <w:rFonts w:eastAsia="Times New Roman" w:cs="Times New Roman"/>
                <w:b/>
                <w:sz w:val="20"/>
              </w:rPr>
              <w:t>0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754CE670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R12</w:t>
            </w:r>
          </w:p>
        </w:tc>
      </w:tr>
      <w:tr w:rsidR="001736CC" w:rsidRPr="008547F3" w14:paraId="2DA95072" w14:textId="77777777" w:rsidTr="00A51E17">
        <w:trPr>
          <w:trHeight w:val="53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9833EB6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17 01 01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1B09BD43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Odpady betonu i gruz betonowy z rozbiórki i remontów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5FAE7174" w14:textId="77777777" w:rsidR="001736CC" w:rsidRPr="00CF40C1" w:rsidRDefault="002217B0" w:rsidP="00A51E1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3,82</w:t>
            </w:r>
            <w:r w:rsidR="001736CC" w:rsidRPr="00CF40C1">
              <w:rPr>
                <w:rFonts w:eastAsia="Times New Roman" w:cs="Times New Roman"/>
                <w:b/>
                <w:sz w:val="20"/>
              </w:rPr>
              <w:t>0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42435F3C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R5</w:t>
            </w:r>
          </w:p>
        </w:tc>
      </w:tr>
      <w:tr w:rsidR="001736CC" w:rsidRPr="008547F3" w14:paraId="092B06A2" w14:textId="77777777" w:rsidTr="00A51E17">
        <w:trPr>
          <w:trHeight w:val="53"/>
          <w:jc w:val="center"/>
        </w:trPr>
        <w:tc>
          <w:tcPr>
            <w:tcW w:w="1587" w:type="dxa"/>
            <w:shd w:val="clear" w:color="auto" w:fill="auto"/>
            <w:noWrap/>
            <w:vAlign w:val="center"/>
          </w:tcPr>
          <w:p w14:paraId="53800279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ex20 03 99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70EBCCB9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Odpady komunalne nie wymienione w innych podgrupach-gruz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2119BD36" w14:textId="77777777" w:rsidR="001736CC" w:rsidRPr="00CF40C1" w:rsidRDefault="002217B0" w:rsidP="00A51E1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1,54</w:t>
            </w:r>
            <w:r w:rsidR="001736CC" w:rsidRPr="00CF40C1">
              <w:rPr>
                <w:rFonts w:eastAsia="Times New Roman" w:cs="Times New Roman"/>
                <w:b/>
                <w:sz w:val="20"/>
              </w:rPr>
              <w:t>0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737C7896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R5</w:t>
            </w:r>
          </w:p>
        </w:tc>
      </w:tr>
      <w:tr w:rsidR="001736CC" w:rsidRPr="008547F3" w14:paraId="67E49698" w14:textId="77777777" w:rsidTr="00A51E17">
        <w:trPr>
          <w:trHeight w:val="53"/>
          <w:jc w:val="center"/>
        </w:trPr>
        <w:tc>
          <w:tcPr>
            <w:tcW w:w="1587" w:type="dxa"/>
            <w:shd w:val="clear" w:color="auto" w:fill="auto"/>
            <w:noWrap/>
            <w:vAlign w:val="center"/>
          </w:tcPr>
          <w:p w14:paraId="52AA3D4E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lastRenderedPageBreak/>
              <w:t>16 01 03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67FECBF9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Zużyte opony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4E40C37" w14:textId="77777777" w:rsidR="001736CC" w:rsidRPr="00CF40C1" w:rsidRDefault="002217B0" w:rsidP="00A51E1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5,96</w:t>
            </w:r>
            <w:r w:rsidR="001736CC" w:rsidRPr="00CF40C1">
              <w:rPr>
                <w:rFonts w:eastAsia="Times New Roman" w:cs="Times New Roman"/>
                <w:b/>
                <w:sz w:val="20"/>
              </w:rPr>
              <w:t>0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BB55E04" w14:textId="77777777" w:rsidR="001736CC" w:rsidRPr="008547F3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R5</w:t>
            </w:r>
          </w:p>
        </w:tc>
      </w:tr>
      <w:tr w:rsidR="001736CC" w14:paraId="7A299644" w14:textId="77777777" w:rsidTr="00A51E17">
        <w:trPr>
          <w:trHeight w:val="53"/>
          <w:jc w:val="center"/>
        </w:trPr>
        <w:tc>
          <w:tcPr>
            <w:tcW w:w="1587" w:type="dxa"/>
            <w:shd w:val="clear" w:color="auto" w:fill="auto"/>
            <w:noWrap/>
            <w:vAlign w:val="center"/>
          </w:tcPr>
          <w:p w14:paraId="47722893" w14:textId="77777777" w:rsidR="001736CC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20 01 36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018B63B3" w14:textId="77777777" w:rsidR="001736CC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Zużyte urządzenia elektryczne i elektroniczne inne niż wymienione w 20 01 21,20 01 23 i 20 01 35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5B7C8AC4" w14:textId="77777777" w:rsidR="001736CC" w:rsidRPr="00CF40C1" w:rsidRDefault="002217B0" w:rsidP="00A51E1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1,88</w:t>
            </w:r>
            <w:r w:rsidR="001736CC" w:rsidRPr="00CF40C1">
              <w:rPr>
                <w:rFonts w:eastAsia="Times New Roman" w:cs="Times New Roman"/>
                <w:b/>
                <w:sz w:val="20"/>
              </w:rPr>
              <w:t>0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53E458A5" w14:textId="77777777" w:rsidR="001736CC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R12</w:t>
            </w:r>
          </w:p>
        </w:tc>
      </w:tr>
      <w:tr w:rsidR="001B1E74" w14:paraId="60F43435" w14:textId="77777777" w:rsidTr="00A51E17">
        <w:trPr>
          <w:trHeight w:val="53"/>
          <w:jc w:val="center"/>
        </w:trPr>
        <w:tc>
          <w:tcPr>
            <w:tcW w:w="1587" w:type="dxa"/>
            <w:shd w:val="clear" w:color="auto" w:fill="auto"/>
            <w:noWrap/>
            <w:vAlign w:val="center"/>
          </w:tcPr>
          <w:p w14:paraId="2876B739" w14:textId="77777777" w:rsidR="001B1E74" w:rsidRDefault="001B1E74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20 03 07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6D5FDDBF" w14:textId="77777777" w:rsidR="001B1E74" w:rsidRDefault="001B1E74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Odpady wielkogabarytowe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11CAD2A3" w14:textId="77777777" w:rsidR="001B1E74" w:rsidRDefault="001B1E74" w:rsidP="00A51E1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47,840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CFF8092" w14:textId="77777777" w:rsidR="001B1E74" w:rsidRDefault="001B1E74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R12</w:t>
            </w:r>
          </w:p>
        </w:tc>
      </w:tr>
      <w:tr w:rsidR="001736CC" w14:paraId="221E078D" w14:textId="77777777" w:rsidTr="00A51E17">
        <w:trPr>
          <w:gridAfter w:val="1"/>
          <w:wAfter w:w="2159" w:type="dxa"/>
          <w:trHeight w:val="53"/>
          <w:jc w:val="center"/>
        </w:trPr>
        <w:tc>
          <w:tcPr>
            <w:tcW w:w="1587" w:type="dxa"/>
            <w:shd w:val="clear" w:color="auto" w:fill="auto"/>
            <w:noWrap/>
            <w:vAlign w:val="center"/>
          </w:tcPr>
          <w:p w14:paraId="1383C6EC" w14:textId="77777777" w:rsidR="001736CC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41731444" w14:textId="77777777" w:rsidR="001736CC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14:paraId="76DD47F2" w14:textId="77777777" w:rsidR="001736CC" w:rsidRDefault="001736CC" w:rsidP="00A51E17">
            <w:pPr>
              <w:spacing w:line="240" w:lineRule="auto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 w:rsidR="00470532">
              <w:rPr>
                <w:rFonts w:eastAsia="Times New Roman" w:cs="Times New Roman"/>
                <w:sz w:val="20"/>
              </w:rPr>
              <w:t xml:space="preserve">             </w:t>
            </w:r>
            <w:r>
              <w:rPr>
                <w:rFonts w:eastAsia="Times New Roman" w:cs="Times New Roman"/>
                <w:sz w:val="20"/>
              </w:rPr>
              <w:t>SUMA</w:t>
            </w:r>
          </w:p>
        </w:tc>
      </w:tr>
      <w:tr w:rsidR="001736CC" w14:paraId="3EDD2012" w14:textId="77777777" w:rsidTr="00A51E17">
        <w:trPr>
          <w:gridAfter w:val="1"/>
          <w:wAfter w:w="2159" w:type="dxa"/>
          <w:trHeight w:val="53"/>
          <w:jc w:val="center"/>
        </w:trPr>
        <w:tc>
          <w:tcPr>
            <w:tcW w:w="1587" w:type="dxa"/>
            <w:shd w:val="clear" w:color="auto" w:fill="auto"/>
            <w:noWrap/>
            <w:vAlign w:val="center"/>
          </w:tcPr>
          <w:p w14:paraId="751470C7" w14:textId="77777777" w:rsidR="001736CC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2C378A37" w14:textId="77777777" w:rsidR="001736CC" w:rsidRDefault="001736CC" w:rsidP="00A51E17">
            <w:pPr>
              <w:spacing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14:paraId="69BE26A3" w14:textId="77777777" w:rsidR="001736CC" w:rsidRPr="00CF40C1" w:rsidRDefault="001736CC" w:rsidP="00A51E17">
            <w:pPr>
              <w:spacing w:line="240" w:lineRule="auto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                </w:t>
            </w:r>
            <w:r w:rsidR="001B1E74">
              <w:rPr>
                <w:rFonts w:eastAsia="Times New Roman" w:cs="Times New Roman"/>
                <w:b/>
                <w:sz w:val="20"/>
              </w:rPr>
              <w:t>63,58</w:t>
            </w:r>
            <w:r w:rsidRPr="00CF40C1">
              <w:rPr>
                <w:rFonts w:eastAsia="Times New Roman" w:cs="Times New Roman"/>
                <w:b/>
                <w:sz w:val="20"/>
              </w:rPr>
              <w:t>0</w:t>
            </w:r>
          </w:p>
        </w:tc>
      </w:tr>
    </w:tbl>
    <w:p w14:paraId="442418BF" w14:textId="77777777" w:rsidR="001736CC" w:rsidRDefault="001736CC" w:rsidP="001736CC"/>
    <w:p w14:paraId="37D638CB" w14:textId="77777777" w:rsidR="001736CC" w:rsidRDefault="001736CC" w:rsidP="001736CC">
      <w:r>
        <w:t xml:space="preserve">                       </w:t>
      </w:r>
    </w:p>
    <w:p w14:paraId="304DA2AE" w14:textId="77777777" w:rsidR="009C72C8" w:rsidRDefault="001736CC" w:rsidP="001736CC">
      <w:r>
        <w:t>R3-Recykling lub regeneracja substancji organicznych, które nie są stosowane jako rozpuszczalniki (w tym kompostowanie i inne biologiczne procesy przekształcania),                                                                      R5-</w:t>
      </w:r>
      <w:r w:rsidRPr="00607AA0">
        <w:t>Recykling lub odzysk innych materiałów nieorganicznych</w:t>
      </w:r>
      <w:r>
        <w:t>,                                                                       R12-</w:t>
      </w:r>
      <w:r w:rsidRPr="007C3BA0">
        <w:t xml:space="preserve">Wymiana odpadów w celu poddania ich któremukolwiek z procesów wymienionych w pozycji </w:t>
      </w:r>
      <w:r>
        <w:t xml:space="preserve"> </w:t>
      </w:r>
      <w:r w:rsidR="009C72C8">
        <w:t xml:space="preserve">R1-R11,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="001B1E74">
        <w:t>D5-Skła</w:t>
      </w:r>
      <w:r w:rsidR="00DE2789">
        <w:t>dowanie na składowiskach w sposób celowo zaprojektowany (np. umieszczenie w uszczelnionych oddzielnych komorach przykrytych i izolowanych od siebie wzajemnie i od środowiska itd.)</w:t>
      </w:r>
      <w:r w:rsidR="006506BD">
        <w:t>.</w:t>
      </w:r>
      <w:r w:rsidR="009C72C8"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2D66CC5F" w14:textId="77777777" w:rsidR="001736CC" w:rsidRDefault="001736CC" w:rsidP="001736CC"/>
    <w:p w14:paraId="5BBB2636" w14:textId="77777777" w:rsidR="001736CC" w:rsidRDefault="001736CC" w:rsidP="001736CC">
      <w:r>
        <w:t>6.Możliwości przetwarzania niesegregowanych (zmieszanych) odpadów komunalnych, bioodpadów stanowiących odpady komunalne oraz przeznaczonych do składowania pozostałości z sortowania odpadów komunalnych i pozostałości z procesu mechaniczno-biologicznego przetwarzania niesegregowanych (zmieszanych) odpadów komunalnych.</w:t>
      </w:r>
    </w:p>
    <w:p w14:paraId="35B5CD52" w14:textId="77777777" w:rsidR="001736CC" w:rsidRDefault="001736CC" w:rsidP="001736CC">
      <w:r>
        <w:t>Zgodnie z ustawą o odpadach z dnia 14 grudnia 2012 r. jako przetwarzanie rozumie się procesy odzysku lub unieszkodliwiania, w tym przygotowanie poprzedzające odzysk lub unieszkodliwianie. Możliwości przetwarzania zmieszanych odpadów komunalnych związane są z ich zagospodarowaniem w poszczególnych instalacjach do odzysku (głównie instalacje mechaniczno-biologiczne przetwarzania odpadów ko</w:t>
      </w:r>
      <w:r w:rsidR="00DF4673">
        <w:t>munalnych) lub unieszkodliwianiem</w:t>
      </w:r>
      <w:r>
        <w:t xml:space="preserve"> (między innymi  składowanie odpadów na składowiska</w:t>
      </w:r>
      <w:r w:rsidR="00AF2D7A">
        <w:t>ch).W myśl art. 9 e ust. 1 pkt  2</w:t>
      </w:r>
      <w:r>
        <w:t xml:space="preserve"> ustawy z dnia 13 września 1996 r. o utrzymaniu czystości i porządku w gminach, podmiot odbierający odpady komunalne od właścicieli nieruchomości obowiązany jest do przekazywania odebranych niesegregowanych (zmieszanych) odpadów  komunalnych bezpośrednio do instalacji komunalnej. Kierując się zasadą bliskości wyrażoną w art. 20 ust.1,2 ustawy z dnia 14 grudnia 2012 r. o odpadach odpady w pierwszej kolejności poddaje się przetwarzaniu w miejscu ich wytworzenia uwzględniając hierarchię sposobów postępowa</w:t>
      </w:r>
      <w:r w:rsidR="00DF4673">
        <w:t>nia z odpadami. Odpady</w:t>
      </w:r>
      <w:r>
        <w:t>,</w:t>
      </w:r>
      <w:r w:rsidR="00DF4673">
        <w:t xml:space="preserve"> </w:t>
      </w:r>
      <w:r>
        <w:t>które nie mogą być przetworzone w miejscu ich powstania przekazuje się do najbliżej położonych miejsc, w których m</w:t>
      </w:r>
      <w:r w:rsidR="000B4552">
        <w:t>ogą być przetworzone. Miasto i G</w:t>
      </w:r>
      <w:r>
        <w:t>mina Górzno znajduje się n</w:t>
      </w:r>
      <w:r w:rsidR="00DF4673">
        <w:t>a obszarze regionu 2-wschodnieg</w:t>
      </w:r>
      <w:r>
        <w:t>,</w:t>
      </w:r>
      <w:r w:rsidR="00DF4673">
        <w:t xml:space="preserve"> </w:t>
      </w:r>
      <w:r>
        <w:t xml:space="preserve">gdzie między innymi usytuowane są Regionalne Instalacje Przetwarzania  Odpadów Komunalnych  (RIPOK-i ) w Puszczy Miejskiej i Lipnie </w:t>
      </w:r>
      <w:r>
        <w:lastRenderedPageBreak/>
        <w:t xml:space="preserve">prowadzone odpowiednio przez : Regionalny Zakład Utylizacji Odpadów Komunalnych „RYPIN” Sp. z o.o., Puszcza Miejska 24 ,87-500 Rypin oraz </w:t>
      </w:r>
      <w:r w:rsidRPr="00A47EC2">
        <w:t xml:space="preserve"> przez Przedsiębiorstwo Usług Komunalnych</w:t>
      </w:r>
      <w:r>
        <w:t>,</w:t>
      </w:r>
      <w:r w:rsidRPr="00A47EC2">
        <w:t xml:space="preserve"> ul. Wyszyńskiego 47, 87-600 Lipno</w:t>
      </w:r>
      <w:r>
        <w:t xml:space="preserve"> do których to trafiają odebrane odpady. Zgodnie z art.18 ustawy z dnia 14 grudnia 2012 r. o odpadach, odpady powinny być w pierwszej kolejności poddawane odzyskowi, a składowane powinny być wyłącznie te odpady, których unieszkodliwienie w inny sposób było niemożliwe. Ponadto zgodnie z art. 105 ust.1 tejże ustawy odpady przed ich umieszczeniem na składowisku poddaje się procesowi przekształcania fizycznego, chemicznego, termicznego lub biologicznego, w celu m.in. ograniczenia zagrożenia dla ludzi i środowiska, a także objętości składowanych odpadów. W związku z powyższym zgodnie z ustawą o odpadach cały strumień zmieszanych odpadów komunalnych o kodzie 20 03 01 powinien być przekazywany na sortownie odpadów, a następnie tylko frakcje pod kodem </w:t>
      </w:r>
      <w:r w:rsidR="000B4552">
        <w:t>(</w:t>
      </w:r>
      <w:r>
        <w:t>19 ……</w:t>
      </w:r>
      <w:r w:rsidR="000B4552">
        <w:t>)</w:t>
      </w:r>
      <w:r>
        <w:t xml:space="preserve"> nie nadające się do odzysku ,powinny być przekazane do składowania –jednak tylko na instalacje RIPOK. Ww. działania zostały podjęte i zrealizowan</w:t>
      </w:r>
      <w:r w:rsidR="00596013">
        <w:t>e na terenie Miasta i Gminy Górzno w 2020</w:t>
      </w:r>
      <w:r>
        <w:t xml:space="preserve"> roku.</w:t>
      </w:r>
    </w:p>
    <w:p w14:paraId="1A928541" w14:textId="77777777" w:rsidR="001736CC" w:rsidRDefault="001736CC" w:rsidP="001736CC"/>
    <w:p w14:paraId="020EC684" w14:textId="77777777" w:rsidR="001736CC" w:rsidRDefault="001736CC" w:rsidP="001736CC">
      <w:r>
        <w:t>7.Osiągnięty poziom recyklingu i przygotowania do ponownego użycia papieru, metali tworzyw sztucznych i szkła, odpadów budowlanych i rozbiórkowych będących odpadami komunalnymi.</w:t>
      </w:r>
    </w:p>
    <w:p w14:paraId="0BE25667" w14:textId="77777777" w:rsidR="001736CC" w:rsidRDefault="001B1E74" w:rsidP="001736CC">
      <w:r>
        <w:t>Wymagany do osiągnięcia</w:t>
      </w:r>
      <w:r w:rsidR="001736CC">
        <w:t xml:space="preserve"> pozom recyklingu, przygotowania do ponownego użycia i odzysku odpadów wymienionych w pkt.7 został wykazany w pkt.1.4.2 niniejszej analizy.</w:t>
      </w:r>
    </w:p>
    <w:p w14:paraId="0519537D" w14:textId="77777777" w:rsidR="001736CC" w:rsidRDefault="001736CC" w:rsidP="001736CC">
      <w:r>
        <w:t>7.1 Osiągnięty poziom recyklingu i przygotowania do ponownego użycia papieru, metali tworzyw sztucznych i szkła.</w:t>
      </w:r>
    </w:p>
    <w:p w14:paraId="37A49102" w14:textId="77777777" w:rsidR="001736CC" w:rsidRDefault="001736CC" w:rsidP="001736CC">
      <w:pPr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Poziom recyklingu i przygotowania do ponownego użycia papieru, metali, tworzyw sztucznych i szkła oblicza się na podstawie wzoru z Rozporządzenia</w:t>
      </w:r>
      <w:r w:rsidRPr="006D3327">
        <w:rPr>
          <w:rFonts w:eastAsia="Times New Roman" w:cstheme="minorHAnsi"/>
          <w:bCs/>
          <w:color w:val="000000"/>
          <w:lang w:eastAsia="pl-PL"/>
        </w:rPr>
        <w:t xml:space="preserve"> Ministra Środowiska z dnia 14 grudnia 2016 r. w sprawie poziomów recyklingu, przygotowania do ponownego użycia i odzysku innymi metodami niektórych frakcji odpadów komunalnych</w:t>
      </w:r>
      <w:r>
        <w:rPr>
          <w:rFonts w:eastAsia="Times New Roman" w:cstheme="minorHAnsi"/>
          <w:bCs/>
          <w:color w:val="000000"/>
          <w:lang w:eastAsia="pl-PL"/>
        </w:rPr>
        <w:t>.</w:t>
      </w:r>
    </w:p>
    <w:p w14:paraId="3F5BC38F" w14:textId="77777777" w:rsidR="001736CC" w:rsidRDefault="001736CC" w:rsidP="001736CC">
      <w:pPr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t xml:space="preserve">                       </w:t>
      </w:r>
      <m:oMath>
        <m:r>
          <w:rPr>
            <w:rFonts w:ascii="Cambria Math" w:eastAsia="Times New Roman" w:hAnsi="Cambria Math" w:cstheme="minorHAnsi"/>
            <w:sz w:val="24"/>
            <w:szCs w:val="32"/>
          </w:rPr>
          <m:t>P</m:t>
        </m:r>
        <m:r>
          <w:rPr>
            <w:rFonts w:ascii="Cambria Math" w:eastAsia="Times New Roman" w:hAnsi="Cambria Math" w:cstheme="minorHAnsi"/>
            <w:sz w:val="20"/>
            <w:szCs w:val="32"/>
          </w:rPr>
          <m:t>pmts</m:t>
        </m:r>
      </m:oMath>
      <w:r>
        <w:rPr>
          <w:rFonts w:eastAsia="Times New Roman" w:cstheme="minorHAnsi"/>
          <w:sz w:val="32"/>
          <w:szCs w:val="32"/>
        </w:rPr>
        <w:t xml:space="preserve">  </w:t>
      </w:r>
      <m:oMath>
        <m:r>
          <m:rPr>
            <m:sty m:val="p"/>
          </m:rPr>
          <w:rPr>
            <w:rFonts w:ascii="Cambria Math" w:hAnsi="Cambria Math" w:cs="Cambria Math"/>
            <w:sz w:val="24"/>
            <w:szCs w:val="32"/>
          </w:rPr>
          <m:t>=</m:t>
        </m:r>
        <m:f>
          <m:fPr>
            <m:ctrlPr>
              <w:rPr>
                <w:rFonts w:ascii="Cambria Math" w:hAnsi="Cambria Math"/>
                <w:sz w:val="24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theme="minorHAnsi"/>
                <w:sz w:val="24"/>
                <w:szCs w:val="32"/>
              </w:rPr>
              <m:t xml:space="preserve">  </m:t>
            </m:r>
            <m:r>
              <w:rPr>
                <w:rFonts w:ascii="Cambria Math" w:eastAsia="Times New Roman" w:hAnsi="Cambria Math" w:cstheme="minorHAnsi"/>
                <w:sz w:val="24"/>
                <w:szCs w:val="32"/>
              </w:rPr>
              <m:t>Mr pmts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theme="minorHAnsi"/>
                <w:sz w:val="24"/>
                <w:szCs w:val="32"/>
              </w:rPr>
              <m:t xml:space="preserve">  </m:t>
            </m:r>
            <m:r>
              <w:rPr>
                <w:rFonts w:ascii="Cambria Math" w:eastAsia="Times New Roman" w:hAnsi="Cambria Math" w:cstheme="minorHAnsi"/>
                <w:sz w:val="24"/>
                <w:szCs w:val="32"/>
              </w:rPr>
              <m:t>Mw pmts</m:t>
            </m:r>
          </m:den>
        </m:f>
      </m:oMath>
      <w:r>
        <w:rPr>
          <w:rFonts w:eastAsia="Times New Roman" w:cstheme="minorHAnsi"/>
          <w:sz w:val="32"/>
          <w:szCs w:val="32"/>
        </w:rPr>
        <w:t xml:space="preserve"> </w:t>
      </w:r>
      <w:r w:rsidRPr="00A81BD9">
        <w:rPr>
          <w:rFonts w:eastAsia="Times New Roman" w:cstheme="minorHAnsi"/>
          <w:sz w:val="24"/>
          <w:szCs w:val="24"/>
        </w:rPr>
        <w:t>x 100%</w:t>
      </w:r>
      <w:r>
        <w:rPr>
          <w:rFonts w:eastAsia="Times New Roman" w:cstheme="minorHAnsi"/>
          <w:sz w:val="32"/>
          <w:szCs w:val="32"/>
        </w:rPr>
        <w:t xml:space="preserve">      </w:t>
      </w:r>
    </w:p>
    <w:p w14:paraId="3E6A22FC" w14:textId="77777777" w:rsidR="001736CC" w:rsidRDefault="001736CC" w:rsidP="001736CC">
      <w:proofErr w:type="spellStart"/>
      <w:r>
        <w:t>P</w:t>
      </w:r>
      <w:r w:rsidRPr="00980B4C">
        <w:rPr>
          <w:sz w:val="18"/>
          <w:szCs w:val="18"/>
        </w:rPr>
        <w:t>pmts</w:t>
      </w:r>
      <w:proofErr w:type="spellEnd"/>
      <w:r>
        <w:t xml:space="preserve"> – poziom recyklingu i przygotowania do ponownego użycia papieru, metali, tworzyw sztucznych i szkła, wyrażony w %,                                                                                                                                   </w:t>
      </w:r>
      <w:proofErr w:type="spellStart"/>
      <w:r>
        <w:t>Mr</w:t>
      </w:r>
      <w:r w:rsidRPr="00980B4C">
        <w:rPr>
          <w:sz w:val="18"/>
          <w:szCs w:val="18"/>
        </w:rPr>
        <w:t>pmts</w:t>
      </w:r>
      <w:proofErr w:type="spellEnd"/>
      <w:r w:rsidRPr="00980B4C">
        <w:rPr>
          <w:sz w:val="18"/>
          <w:szCs w:val="18"/>
        </w:rPr>
        <w:t xml:space="preserve"> </w:t>
      </w:r>
      <w:r>
        <w:t xml:space="preserve">– łączna masa odpadów papieru, metalu, tworzyw sztucznych i szkła poddanych recyklingowi i przygotowanych do ponownego użycia, pochodzących ze strumienia odpadów komunalnych z gospodarstw domowych oraz od innych wytwórców odpadów komunalnych, wyrażona w Mg,                                                                                                                                                              </w:t>
      </w:r>
    </w:p>
    <w:p w14:paraId="08CCF5D1" w14:textId="77777777" w:rsidR="001736CC" w:rsidRPr="00980B4C" w:rsidRDefault="001736CC" w:rsidP="001736CC">
      <w:proofErr w:type="spellStart"/>
      <w:r>
        <w:t>Mw</w:t>
      </w:r>
      <w:r w:rsidRPr="00980B4C">
        <w:rPr>
          <w:sz w:val="18"/>
          <w:szCs w:val="18"/>
        </w:rPr>
        <w:t>pmts</w:t>
      </w:r>
      <w:proofErr w:type="spellEnd"/>
      <w:r>
        <w:t xml:space="preserve"> – łączna masa wytworzonych odpadów papieru, metalu, tworzyw sztucznych i szkła , pochodzących ze strumienia odpadów komunalnych z gospodarstw domowych oraz od innych wytwórców odpadów komunalnych, wyrażona w </w:t>
      </w:r>
      <w:r w:rsidR="000B4552">
        <w:t>Mg.</w:t>
      </w:r>
    </w:p>
    <w:p w14:paraId="39FF055A" w14:textId="77777777" w:rsidR="00690879" w:rsidRDefault="001736CC" w:rsidP="001736CC">
      <w:pPr>
        <w:rPr>
          <w:sz w:val="18"/>
          <w:szCs w:val="18"/>
        </w:rPr>
      </w:pPr>
      <w:r>
        <w:t xml:space="preserve">Łączna </w:t>
      </w:r>
      <w:r w:rsidR="008627B3">
        <w:t>masa odpadów komunalnych: w 2020</w:t>
      </w:r>
      <w:r>
        <w:t xml:space="preserve"> r. papieru, metali, tworzyw sztucznych i szkła przygotowanych do ponownego użycia i poddanych recyklingowi na terenie </w:t>
      </w:r>
      <w:r w:rsidR="00F032F1">
        <w:t>Miasta i Gminy Górzno wynosi 122,945</w:t>
      </w:r>
      <w:r>
        <w:t xml:space="preserve"> Mg (</w:t>
      </w:r>
      <w:proofErr w:type="spellStart"/>
      <w:r>
        <w:t>Mr</w:t>
      </w:r>
      <w:r w:rsidRPr="00B15F03">
        <w:rPr>
          <w:sz w:val="18"/>
          <w:szCs w:val="18"/>
        </w:rPr>
        <w:t>pmts</w:t>
      </w:r>
      <w:proofErr w:type="spellEnd"/>
      <w:r>
        <w:rPr>
          <w:sz w:val="18"/>
          <w:szCs w:val="18"/>
        </w:rPr>
        <w:t>).</w:t>
      </w:r>
    </w:p>
    <w:p w14:paraId="077D30E7" w14:textId="77777777" w:rsidR="001736CC" w:rsidRDefault="001736CC" w:rsidP="001736CC">
      <w:r w:rsidRPr="00A178A0">
        <w:t>O</w:t>
      </w:r>
      <w:r w:rsidR="00DA4BE4">
        <w:t>pakowania z papieru i tektury 54,33</w:t>
      </w:r>
      <w:r w:rsidRPr="00A178A0">
        <w:t xml:space="preserve">8  </w:t>
      </w:r>
      <w:r>
        <w:t>Mg</w:t>
      </w:r>
      <w:r w:rsidRPr="00A178A0">
        <w:t xml:space="preserve"> </w:t>
      </w:r>
      <w:r>
        <w:t>,</w:t>
      </w:r>
      <w:r w:rsidRPr="00A178A0">
        <w:t xml:space="preserve">                                                                                                                                                Opakowania z tworzyw sztucznych </w:t>
      </w:r>
      <w:r w:rsidR="00DA4BE4">
        <w:t>44,292</w:t>
      </w:r>
      <w:r>
        <w:t xml:space="preserve"> Mg ,</w:t>
      </w:r>
      <w:r w:rsidRPr="00A178A0">
        <w:t xml:space="preserve">                                                                                                                                           Opakowania z metali</w:t>
      </w:r>
      <w:r w:rsidR="00DA4BE4">
        <w:t xml:space="preserve"> 9,939</w:t>
      </w:r>
      <w:r>
        <w:t xml:space="preserve"> </w:t>
      </w:r>
      <w:r w:rsidRPr="006B263E">
        <w:t xml:space="preserve">Mg </w:t>
      </w:r>
      <w:r>
        <w:t>,</w:t>
      </w:r>
      <w:r w:rsidRPr="006B263E">
        <w:t xml:space="preserve">   </w:t>
      </w:r>
      <w:r w:rsidRPr="00A178A0">
        <w:t xml:space="preserve">                                                                                                                                                                    Opakowania wielomateriałowe</w:t>
      </w:r>
      <w:r w:rsidR="00DA4BE4">
        <w:t xml:space="preserve"> 0,081</w:t>
      </w:r>
      <w:r>
        <w:t xml:space="preserve"> </w:t>
      </w:r>
      <w:r w:rsidRPr="006B263E">
        <w:t>Mg</w:t>
      </w:r>
      <w:r>
        <w:t>,</w:t>
      </w:r>
      <w:r w:rsidRPr="006B263E">
        <w:t xml:space="preserve">    </w:t>
      </w:r>
      <w:r w:rsidRPr="00A178A0">
        <w:t xml:space="preserve">                                                                                                                                       </w:t>
      </w:r>
      <w:r w:rsidR="00A508B3">
        <w:t xml:space="preserve">          Opakowania ze szkła 14,075</w:t>
      </w:r>
      <w:r>
        <w:t xml:space="preserve"> </w:t>
      </w:r>
      <w:r w:rsidRPr="006B263E">
        <w:t xml:space="preserve">Mg </w:t>
      </w:r>
      <w:r>
        <w:t>,</w:t>
      </w:r>
      <w:r w:rsidRPr="006B263E">
        <w:t xml:space="preserve">   </w:t>
      </w:r>
      <w:r w:rsidRPr="00A178A0">
        <w:t xml:space="preserve">                                                                                                                                                 </w:t>
      </w:r>
      <w:r w:rsidR="00DA4BE4">
        <w:t xml:space="preserve">                           Tworzywa sztuczne 0,22</w:t>
      </w:r>
      <w:r w:rsidRPr="00A178A0">
        <w:t>0</w:t>
      </w:r>
      <w:r>
        <w:t xml:space="preserve"> </w:t>
      </w:r>
      <w:r w:rsidRPr="006B263E">
        <w:t>Mg</w:t>
      </w:r>
      <w:r>
        <w:t xml:space="preserve"> ;</w:t>
      </w:r>
      <w:r w:rsidRPr="006B263E">
        <w:t xml:space="preserve">    </w:t>
      </w:r>
    </w:p>
    <w:p w14:paraId="68C9D446" w14:textId="77777777" w:rsidR="000B4552" w:rsidRDefault="00303B9D" w:rsidP="000B4552">
      <w:pPr>
        <w:rPr>
          <w:sz w:val="18"/>
          <w:szCs w:val="18"/>
        </w:rPr>
      </w:pPr>
      <w:r>
        <w:lastRenderedPageBreak/>
        <w:t xml:space="preserve">  </w:t>
      </w:r>
      <w:proofErr w:type="spellStart"/>
      <w:r w:rsidR="000B4552">
        <w:t>Mw</w:t>
      </w:r>
      <w:r w:rsidR="000B4552" w:rsidRPr="00980B4C">
        <w:rPr>
          <w:sz w:val="18"/>
          <w:szCs w:val="18"/>
        </w:rPr>
        <w:t>pmts</w:t>
      </w:r>
      <w:proofErr w:type="spellEnd"/>
      <w:r w:rsidR="000B4552">
        <w:t xml:space="preserve"> – </w:t>
      </w:r>
      <w:r w:rsidR="000B4552">
        <w:rPr>
          <w:lang w:val="en-US"/>
        </w:rPr>
        <w:t>3229 x 0,332</w:t>
      </w:r>
      <w:r w:rsidR="000B4552" w:rsidRPr="004C64DA">
        <w:rPr>
          <w:lang w:val="en-US"/>
        </w:rPr>
        <w:t xml:space="preserve"> x</w:t>
      </w:r>
      <w:r w:rsidR="000B4552">
        <w:rPr>
          <w:lang w:val="en-US"/>
        </w:rPr>
        <w:t xml:space="preserve"> 0,22=235,84616</w:t>
      </w:r>
    </w:p>
    <w:p w14:paraId="21E170C6" w14:textId="77777777" w:rsidR="000B4552" w:rsidRPr="00F032F1" w:rsidRDefault="000B4552" w:rsidP="001736CC"/>
    <w:p w14:paraId="60B0329F" w14:textId="77777777" w:rsidR="00F032F1" w:rsidRDefault="001736CC" w:rsidP="00F032F1">
      <w:pPr>
        <w:rPr>
          <w:rFonts w:eastAsia="Times New Roman" w:cstheme="minorHAnsi"/>
          <w:sz w:val="32"/>
          <w:szCs w:val="32"/>
          <w:lang w:val="en-US"/>
        </w:rPr>
      </w:pPr>
      <w:r>
        <w:rPr>
          <w:rFonts w:eastAsia="Times New Roman" w:cstheme="minorHAnsi"/>
          <w:sz w:val="32"/>
          <w:szCs w:val="32"/>
        </w:rPr>
        <w:t xml:space="preserve">  </w:t>
      </w:r>
      <m:oMath>
        <m:r>
          <w:rPr>
            <w:rFonts w:ascii="Cambria Math" w:eastAsia="Times New Roman" w:hAnsi="Cambria Math" w:cstheme="minorHAnsi"/>
            <w:sz w:val="24"/>
            <w:szCs w:val="32"/>
          </w:rPr>
          <m:t>P</m:t>
        </m:r>
        <m:r>
          <w:rPr>
            <w:rFonts w:ascii="Cambria Math" w:eastAsia="Times New Roman" w:hAnsi="Cambria Math" w:cstheme="minorHAnsi"/>
            <w:sz w:val="20"/>
            <w:szCs w:val="32"/>
          </w:rPr>
          <m:t>pmts</m:t>
        </m:r>
      </m:oMath>
      <w:r w:rsidR="00F032F1" w:rsidRPr="00E87981">
        <w:rPr>
          <w:rFonts w:eastAsia="Times New Roman" w:cstheme="minorHAnsi"/>
          <w:sz w:val="32"/>
          <w:szCs w:val="32"/>
          <w:lang w:val="en-US"/>
        </w:rPr>
        <w:t xml:space="preserve">  </w:t>
      </w:r>
      <m:oMath>
        <m:r>
          <m:rPr>
            <m:sty m:val="p"/>
          </m:rPr>
          <w:rPr>
            <w:rFonts w:ascii="Cambria Math" w:hAnsi="Cambria Math" w:cs="Cambria Math"/>
            <w:sz w:val="24"/>
            <w:szCs w:val="32"/>
            <w:lang w:val="en-US"/>
          </w:rPr>
          <m:t>=</m:t>
        </m:r>
        <m:f>
          <m:fPr>
            <m:ctrlPr>
              <w:rPr>
                <w:rFonts w:ascii="Cambria Math" w:hAnsi="Cambria Math"/>
                <w:sz w:val="24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theme="minorHAnsi"/>
                <w:sz w:val="24"/>
                <w:szCs w:val="32"/>
                <w:lang w:val="en-US"/>
              </w:rPr>
              <m:t xml:space="preserve">  </m:t>
            </m:r>
            <m:r>
              <w:rPr>
                <w:rFonts w:ascii="Cambria Math" w:eastAsia="Times New Roman" w:hAnsi="Cambria Math" w:cstheme="minorHAnsi"/>
                <w:sz w:val="24"/>
                <w:szCs w:val="32"/>
                <w:lang w:val="en-US"/>
              </w:rPr>
              <m:t>122,9450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theme="minorHAnsi"/>
                <w:sz w:val="24"/>
                <w:szCs w:val="32"/>
                <w:lang w:val="en-US"/>
              </w:rPr>
              <m:t xml:space="preserve">  </m:t>
            </m:r>
            <m:r>
              <w:rPr>
                <w:rFonts w:ascii="Cambria Math" w:eastAsia="Times New Roman" w:hAnsi="Cambria Math" w:cstheme="minorHAnsi"/>
                <w:sz w:val="24"/>
                <w:szCs w:val="32"/>
                <w:lang w:val="en-US"/>
              </w:rPr>
              <m:t>235,84616</m:t>
            </m:r>
          </m:den>
        </m:f>
      </m:oMath>
      <w:r w:rsidR="00F032F1" w:rsidRPr="00E87981">
        <w:rPr>
          <w:rFonts w:eastAsia="Times New Roman" w:cstheme="minorHAnsi"/>
          <w:sz w:val="32"/>
          <w:szCs w:val="32"/>
          <w:lang w:val="en-US"/>
        </w:rPr>
        <w:t xml:space="preserve"> </w:t>
      </w:r>
      <w:r w:rsidR="00F032F1" w:rsidRPr="00E87981">
        <w:rPr>
          <w:rFonts w:eastAsia="Times New Roman" w:cstheme="minorHAnsi"/>
          <w:sz w:val="24"/>
          <w:szCs w:val="24"/>
          <w:lang w:val="en-US"/>
        </w:rPr>
        <w:t>x 100%</w:t>
      </w:r>
      <w:r w:rsidR="00F032F1" w:rsidRPr="00E87981">
        <w:rPr>
          <w:rFonts w:eastAsia="Times New Roman" w:cstheme="minorHAnsi"/>
          <w:sz w:val="32"/>
          <w:szCs w:val="32"/>
          <w:lang w:val="en-US"/>
        </w:rPr>
        <w:t xml:space="preserve"> =</w:t>
      </w:r>
      <w:r w:rsidR="00F032F1">
        <w:rPr>
          <w:rFonts w:eastAsia="Times New Roman" w:cstheme="minorHAnsi"/>
          <w:sz w:val="24"/>
          <w:szCs w:val="24"/>
          <w:lang w:val="en-US"/>
        </w:rPr>
        <w:t>52,13</w:t>
      </w:r>
      <w:r w:rsidR="00F032F1" w:rsidRPr="00E87981">
        <w:rPr>
          <w:rFonts w:eastAsia="Times New Roman" w:cstheme="minorHAnsi"/>
          <w:sz w:val="24"/>
          <w:szCs w:val="24"/>
          <w:lang w:val="en-US"/>
        </w:rPr>
        <w:t xml:space="preserve"> %</w:t>
      </w:r>
      <w:r w:rsidR="00F032F1" w:rsidRPr="00E87981">
        <w:rPr>
          <w:rFonts w:eastAsia="Times New Roman" w:cstheme="minorHAnsi"/>
          <w:sz w:val="32"/>
          <w:szCs w:val="32"/>
          <w:lang w:val="en-US"/>
        </w:rPr>
        <w:t xml:space="preserve">     </w:t>
      </w:r>
    </w:p>
    <w:p w14:paraId="6292DDAB" w14:textId="77777777" w:rsidR="001736CC" w:rsidRDefault="001736CC" w:rsidP="001736CC"/>
    <w:p w14:paraId="374ED625" w14:textId="77777777" w:rsidR="001736CC" w:rsidRDefault="00F032F1" w:rsidP="001736CC">
      <w:r>
        <w:t xml:space="preserve"> W 2020</w:t>
      </w:r>
      <w:r w:rsidR="001736CC">
        <w:t xml:space="preserve"> r. na trenie Miasta i Gminy Górzno </w:t>
      </w:r>
      <w:proofErr w:type="spellStart"/>
      <w:r w:rsidR="001736CC">
        <w:t>Ppmts</w:t>
      </w:r>
      <w:proofErr w:type="spellEnd"/>
      <w:r w:rsidR="001736CC">
        <w:t xml:space="preserve"> wynió</w:t>
      </w:r>
      <w:r>
        <w:t>sł 52,13 % .Wymagany poziom to 50 %. Wobec powyższego w 2020</w:t>
      </w:r>
      <w:r w:rsidR="001736CC">
        <w:t xml:space="preserve"> r został osiągnięty poziom recyklingu tzw. frakcji  suchej.</w:t>
      </w:r>
    </w:p>
    <w:p w14:paraId="667A07EE" w14:textId="77777777" w:rsidR="00303B9D" w:rsidRDefault="00303B9D" w:rsidP="001736CC"/>
    <w:p w14:paraId="728F2207" w14:textId="77777777" w:rsidR="001736CC" w:rsidRDefault="001736CC" w:rsidP="001736CC">
      <w:r>
        <w:t>7.2   Osiągnięty poziom recyklingu i przygotowania do ponownego użycia odpadów budowlanych i rozbiórkowych będących odpadami komunalnymi.</w:t>
      </w:r>
    </w:p>
    <w:p w14:paraId="78196E4F" w14:textId="77777777" w:rsidR="001736CC" w:rsidRDefault="001736CC" w:rsidP="001736CC">
      <w:r>
        <w:t>Poziom recyklingu, przygotowania do ponownego użycia i odzysku innymi metodami innych niż niebezpieczne odpadów budowlanych i rozbiórkowych oblicza się wg wzoru z rozporządzenia tj. :</w:t>
      </w:r>
    </w:p>
    <w:p w14:paraId="02A9D200" w14:textId="77777777" w:rsidR="001736CC" w:rsidRDefault="001736CC" w:rsidP="001736CC">
      <w:pPr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t xml:space="preserve">     </w:t>
      </w:r>
      <m:oMath>
        <m:r>
          <w:rPr>
            <w:rFonts w:ascii="Cambria Math" w:eastAsia="Times New Roman" w:hAnsi="Cambria Math" w:cstheme="minorHAnsi"/>
            <w:sz w:val="24"/>
            <w:szCs w:val="32"/>
          </w:rPr>
          <m:t>P</m:t>
        </m:r>
        <m:r>
          <w:rPr>
            <w:rFonts w:ascii="Cambria Math" w:eastAsia="Times New Roman" w:hAnsi="Cambria Math" w:cstheme="minorHAnsi"/>
            <w:sz w:val="20"/>
            <w:szCs w:val="32"/>
          </w:rPr>
          <m:t>pbr</m:t>
        </m:r>
      </m:oMath>
      <w:r>
        <w:rPr>
          <w:rFonts w:eastAsia="Times New Roman" w:cstheme="minorHAnsi"/>
          <w:sz w:val="32"/>
          <w:szCs w:val="32"/>
        </w:rPr>
        <w:t xml:space="preserve">  </w:t>
      </w:r>
      <m:oMath>
        <m:r>
          <m:rPr>
            <m:sty m:val="p"/>
          </m:rPr>
          <w:rPr>
            <w:rFonts w:ascii="Cambria Math" w:hAnsi="Cambria Math" w:cs="Cambria Math"/>
            <w:sz w:val="24"/>
            <w:szCs w:val="32"/>
          </w:rPr>
          <m:t>=</m:t>
        </m:r>
        <m:f>
          <m:fPr>
            <m:ctrlPr>
              <w:rPr>
                <w:rFonts w:ascii="Cambria Math" w:hAnsi="Cambria Math"/>
                <w:sz w:val="24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theme="minorHAnsi"/>
                <w:sz w:val="24"/>
                <w:szCs w:val="32"/>
              </w:rPr>
              <m:t xml:space="preserve">  </m:t>
            </m:r>
            <m:r>
              <w:rPr>
                <w:rFonts w:ascii="Cambria Math" w:eastAsia="Times New Roman" w:hAnsi="Cambria Math" w:cstheme="minorHAnsi"/>
                <w:sz w:val="24"/>
                <w:szCs w:val="32"/>
              </w:rPr>
              <m:t>Mr br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theme="minorHAnsi"/>
                <w:sz w:val="24"/>
                <w:szCs w:val="32"/>
              </w:rPr>
              <m:t xml:space="preserve">  </m:t>
            </m:r>
            <m:r>
              <w:rPr>
                <w:rFonts w:ascii="Cambria Math" w:eastAsia="Times New Roman" w:hAnsi="Cambria Math" w:cstheme="minorHAnsi"/>
                <w:sz w:val="24"/>
                <w:szCs w:val="32"/>
              </w:rPr>
              <m:t>Mw br</m:t>
            </m:r>
          </m:den>
        </m:f>
      </m:oMath>
      <w:r>
        <w:rPr>
          <w:rFonts w:eastAsia="Times New Roman" w:cstheme="minorHAnsi"/>
          <w:sz w:val="32"/>
          <w:szCs w:val="32"/>
        </w:rPr>
        <w:t xml:space="preserve"> </w:t>
      </w:r>
      <w:r w:rsidRPr="00A81BD9">
        <w:rPr>
          <w:rFonts w:eastAsia="Times New Roman" w:cstheme="minorHAnsi"/>
          <w:sz w:val="24"/>
          <w:szCs w:val="24"/>
        </w:rPr>
        <w:t>x 100%</w:t>
      </w:r>
      <w:r>
        <w:rPr>
          <w:rFonts w:eastAsia="Times New Roman" w:cstheme="minorHAnsi"/>
          <w:sz w:val="32"/>
          <w:szCs w:val="32"/>
        </w:rPr>
        <w:t xml:space="preserve">      </w:t>
      </w:r>
    </w:p>
    <w:p w14:paraId="47EA02DF" w14:textId="77777777" w:rsidR="001736CC" w:rsidRDefault="001736CC" w:rsidP="001736CC">
      <w:proofErr w:type="spellStart"/>
      <w:r>
        <w:t>Pbr</w:t>
      </w:r>
      <w:proofErr w:type="spellEnd"/>
      <w:r>
        <w:t xml:space="preserve"> – poziom recyklingu, przygotowania do ponownego użycia i odzysku innymi metodami innych niż niebezpieczne odpadów budowlanych i rozbiórkowych stanowiących odpady komunalne, wyrażony w %, </w:t>
      </w:r>
    </w:p>
    <w:p w14:paraId="777CF9AE" w14:textId="77777777" w:rsidR="001736CC" w:rsidRDefault="001736CC" w:rsidP="001736CC">
      <w:proofErr w:type="spellStart"/>
      <w:r>
        <w:t>Mrbr</w:t>
      </w:r>
      <w:proofErr w:type="spellEnd"/>
      <w:r>
        <w:t xml:space="preserve"> – łączna masa innych niż niebezpieczne odpadów budowlanych i rozbiórkowych  poddanych recyklingowi, przygotowanych do ponownego użycia oraz poddanych odzyskowi innymi metodami, pochodzących ze strumienia odpadów komunalnych z gospodarstw domowych oraz od innych wytwórców odpadów komunalnych, wyrażona w Mg, </w:t>
      </w:r>
    </w:p>
    <w:p w14:paraId="108382CC" w14:textId="77777777" w:rsidR="001736CC" w:rsidRDefault="001736CC" w:rsidP="001736CC">
      <w:proofErr w:type="spellStart"/>
      <w:r>
        <w:t>Mwbr</w:t>
      </w:r>
      <w:proofErr w:type="spellEnd"/>
      <w:r>
        <w:t xml:space="preserve"> – łączna masa wytworzonych  innych niż niebezpieczne odpadów budowlanych i rozbiórkowych , pochodzących ze strumienia odpadów komunalnych z gospodarstw domowych oraz od innych wytwórców odpadów komunalnych, wyrażona w Mg.</w:t>
      </w:r>
    </w:p>
    <w:p w14:paraId="203D85E2" w14:textId="77777777" w:rsidR="001736CC" w:rsidRDefault="001736CC" w:rsidP="001736CC">
      <w:pPr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t xml:space="preserve">     </w:t>
      </w:r>
      <m:oMath>
        <m:r>
          <w:rPr>
            <w:rFonts w:ascii="Cambria Math" w:eastAsia="Times New Roman" w:hAnsi="Cambria Math" w:cstheme="minorHAnsi"/>
            <w:sz w:val="24"/>
            <w:szCs w:val="32"/>
          </w:rPr>
          <m:t>P</m:t>
        </m:r>
        <m:r>
          <w:rPr>
            <w:rFonts w:ascii="Cambria Math" w:eastAsia="Times New Roman" w:hAnsi="Cambria Math" w:cstheme="minorHAnsi"/>
            <w:sz w:val="20"/>
            <w:szCs w:val="32"/>
          </w:rPr>
          <m:t>pbr</m:t>
        </m:r>
      </m:oMath>
      <w:r>
        <w:rPr>
          <w:rFonts w:eastAsia="Times New Roman" w:cstheme="minorHAnsi"/>
          <w:sz w:val="32"/>
          <w:szCs w:val="32"/>
        </w:rPr>
        <w:t xml:space="preserve">  </w:t>
      </w:r>
      <m:oMath>
        <m:r>
          <m:rPr>
            <m:sty m:val="p"/>
          </m:rPr>
          <w:rPr>
            <w:rFonts w:ascii="Cambria Math" w:hAnsi="Cambria Math" w:cs="Cambria Math"/>
            <w:sz w:val="24"/>
            <w:szCs w:val="32"/>
          </w:rPr>
          <m:t>=</m:t>
        </m:r>
        <m:f>
          <m:fPr>
            <m:ctrlPr>
              <w:rPr>
                <w:rFonts w:ascii="Cambria Math" w:hAnsi="Cambria Math"/>
                <w:sz w:val="24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theme="minorHAnsi"/>
                <w:sz w:val="24"/>
                <w:szCs w:val="32"/>
              </w:rPr>
              <m:t xml:space="preserve">  </m:t>
            </m:r>
            <m:r>
              <w:rPr>
                <w:rFonts w:ascii="Cambria Math" w:eastAsia="Times New Roman" w:hAnsi="Cambria Math" w:cstheme="minorHAnsi"/>
                <w:sz w:val="24"/>
                <w:szCs w:val="32"/>
              </w:rPr>
              <m:t>5360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theme="minorHAnsi"/>
                <w:sz w:val="24"/>
                <w:szCs w:val="32"/>
              </w:rPr>
              <m:t xml:space="preserve">  </m:t>
            </m:r>
            <m:r>
              <w:rPr>
                <w:rFonts w:ascii="Cambria Math" w:eastAsia="Times New Roman" w:hAnsi="Cambria Math" w:cstheme="minorHAnsi"/>
                <w:sz w:val="24"/>
                <w:szCs w:val="32"/>
              </w:rPr>
              <m:t>5360</m:t>
            </m:r>
          </m:den>
        </m:f>
      </m:oMath>
      <w:r>
        <w:rPr>
          <w:rFonts w:eastAsia="Times New Roman" w:cstheme="minorHAnsi"/>
          <w:sz w:val="32"/>
          <w:szCs w:val="32"/>
        </w:rPr>
        <w:t xml:space="preserve"> </w:t>
      </w:r>
      <w:r w:rsidRPr="00A81BD9">
        <w:rPr>
          <w:rFonts w:eastAsia="Times New Roman" w:cstheme="minorHAnsi"/>
          <w:sz w:val="24"/>
          <w:szCs w:val="24"/>
        </w:rPr>
        <w:t>x 100%</w:t>
      </w:r>
      <w:r>
        <w:rPr>
          <w:rFonts w:eastAsia="Times New Roman" w:cstheme="minorHAnsi"/>
          <w:sz w:val="32"/>
          <w:szCs w:val="32"/>
        </w:rPr>
        <w:t xml:space="preserve"> = </w:t>
      </w:r>
      <w:r w:rsidRPr="00A81BD9">
        <w:rPr>
          <w:rFonts w:eastAsia="Times New Roman" w:cstheme="minorHAnsi"/>
          <w:sz w:val="24"/>
          <w:szCs w:val="24"/>
        </w:rPr>
        <w:t>100%</w:t>
      </w:r>
      <w:r>
        <w:rPr>
          <w:rFonts w:eastAsia="Times New Roman" w:cstheme="minorHAnsi"/>
          <w:sz w:val="32"/>
          <w:szCs w:val="32"/>
        </w:rPr>
        <w:t xml:space="preserve">    </w:t>
      </w:r>
    </w:p>
    <w:p w14:paraId="7345E44C" w14:textId="77777777" w:rsidR="00721797" w:rsidRDefault="00AF2D7A" w:rsidP="001736CC">
      <w:r>
        <w:t>W 2020 należało uzyskać 7</w:t>
      </w:r>
      <w:r w:rsidR="001736CC">
        <w:t>0 % poziom odzysku tych odpadów. W gminie Górzno odebrano</w:t>
      </w:r>
      <w:r w:rsidR="008627B3">
        <w:t xml:space="preserve"> od właścicieli nieruchomości 5,36</w:t>
      </w:r>
      <w:r w:rsidR="00902996">
        <w:t>0 Mg</w:t>
      </w:r>
      <w:r w:rsidR="001736CC">
        <w:t xml:space="preserve"> innych niż niebezpieczne odpadów budowlanych i rozbiórkowych, które w całości poddano r</w:t>
      </w:r>
      <w:r w:rsidR="001736CC" w:rsidRPr="00607AA0">
        <w:t>ecykling</w:t>
      </w:r>
      <w:r w:rsidR="001736CC">
        <w:t>owi</w:t>
      </w:r>
      <w:r w:rsidR="001736CC" w:rsidRPr="00607AA0">
        <w:t xml:space="preserve"> lub odzysk</w:t>
      </w:r>
      <w:r w:rsidR="001736CC">
        <w:t>owi</w:t>
      </w:r>
      <w:r w:rsidR="001736CC" w:rsidRPr="00607AA0">
        <w:t xml:space="preserve"> innych materiałów nieorganicznych</w:t>
      </w:r>
      <w:r w:rsidR="001736CC">
        <w:t>, w wyniku czego uzyskano poziom odzysku tych odpadów w wysokości 100 %.</w:t>
      </w:r>
    </w:p>
    <w:p w14:paraId="5B543676" w14:textId="77777777" w:rsidR="00721797" w:rsidRDefault="00721797" w:rsidP="001736CC"/>
    <w:p w14:paraId="48BA3AA3" w14:textId="77777777" w:rsidR="001736CC" w:rsidRDefault="001736CC" w:rsidP="001736CC">
      <w:r>
        <w:t>8.Potrzeby inwestycyjne związane z gospodarowaniem odpadami komunalnymi.</w:t>
      </w:r>
    </w:p>
    <w:p w14:paraId="2B685D07" w14:textId="77777777" w:rsidR="001736CC" w:rsidRDefault="001736CC" w:rsidP="001736CC">
      <w:r>
        <w:t xml:space="preserve">Potrzeby inwestycyjne związane z </w:t>
      </w:r>
      <w:r w:rsidR="00A1338E">
        <w:t>gospodarką odpadami na terenie Miasta i G</w:t>
      </w:r>
      <w:r>
        <w:t>miny Górzno</w:t>
      </w:r>
      <w:r w:rsidR="00535B64">
        <w:t>:</w:t>
      </w:r>
      <w:r>
        <w:t xml:space="preserve">  </w:t>
      </w:r>
    </w:p>
    <w:p w14:paraId="5DC598E7" w14:textId="77777777" w:rsidR="001736CC" w:rsidRDefault="00535B64" w:rsidP="001736CC">
      <w:r>
        <w:t>-p</w:t>
      </w:r>
      <w:r w:rsidR="001736CC">
        <w:t>rowadzenie oraz wspieranie działań edukacyjnych promujących właściwe post</w:t>
      </w:r>
      <w:r>
        <w:t>ępowanie z odpadami komunalnymi,</w:t>
      </w:r>
      <w:r w:rsidR="001736CC">
        <w:t xml:space="preserve">                                                                                                                               </w:t>
      </w:r>
      <w:r>
        <w:t xml:space="preserve">                               -z</w:t>
      </w:r>
      <w:r w:rsidR="001736CC">
        <w:t>akup kontenerów przeznaczonych do zbiórki odpadów w Punkcie Selekt</w:t>
      </w:r>
      <w:r>
        <w:t>ywnej Zbiórki Odpadów (PSZOK),</w:t>
      </w:r>
      <w:r w:rsidR="001736CC">
        <w:t xml:space="preserve">                                                                                                                                                          </w:t>
      </w:r>
      <w:r>
        <w:t xml:space="preserve">                   </w:t>
      </w:r>
      <w:r w:rsidR="001736CC">
        <w:t xml:space="preserve">   </w:t>
      </w:r>
      <w:r>
        <w:t>-m</w:t>
      </w:r>
      <w:r w:rsidR="001736CC">
        <w:t>odernizacja PSZOK Górzno położonego przy ulicy Gajowej w Górznie.</w:t>
      </w:r>
    </w:p>
    <w:p w14:paraId="0087BB13" w14:textId="77777777" w:rsidR="001736CC" w:rsidRDefault="001736CC" w:rsidP="001736CC">
      <w:r>
        <w:lastRenderedPageBreak/>
        <w:t>9.Koszty poniesione w związku z odbieraniem, odzyskiem, recyklingiem, unieszkodliwianiem odpadów komunalnych w podziale na wpływy, wydatki i nadwyżki z opłat za gospodarowanie odpadami.</w:t>
      </w:r>
    </w:p>
    <w:p w14:paraId="7220839E" w14:textId="77777777" w:rsidR="00470532" w:rsidRDefault="00470532" w:rsidP="001736CC">
      <w:r>
        <w:t xml:space="preserve">Wpływy z </w:t>
      </w:r>
      <w:r w:rsidR="00721797">
        <w:t xml:space="preserve">tytułu </w:t>
      </w:r>
      <w:r>
        <w:t xml:space="preserve">opłat </w:t>
      </w:r>
      <w:r w:rsidR="00721797">
        <w:t xml:space="preserve">za gospodarowanie odpadami komunalnymi w 2020 r wyniosły </w:t>
      </w:r>
      <w:r w:rsidR="003948F9">
        <w:t>:</w:t>
      </w:r>
    </w:p>
    <w:p w14:paraId="64663BAF" w14:textId="77777777" w:rsidR="003948F9" w:rsidRDefault="003948F9" w:rsidP="001736CC">
      <w:r>
        <w:t>-</w:t>
      </w:r>
      <w:r w:rsidR="00113831">
        <w:t xml:space="preserve"> </w:t>
      </w:r>
      <w:r>
        <w:t>należność główna 473 540,79 zł (czterysta siedemdziesiąt trzy tysiące p</w:t>
      </w:r>
      <w:r w:rsidR="00113831">
        <w:t>ięćset czterdzieści  złotych</w:t>
      </w:r>
      <w:r>
        <w:t xml:space="preserve"> 79/100,                                                                                                                                                                    </w:t>
      </w:r>
      <w:r w:rsidR="00113831">
        <w:t xml:space="preserve">          </w:t>
      </w:r>
      <w:r>
        <w:t xml:space="preserve"> -</w:t>
      </w:r>
      <w:r w:rsidR="00113831">
        <w:t xml:space="preserve"> </w:t>
      </w:r>
      <w:r>
        <w:t>koszty upomnienia 2</w:t>
      </w:r>
      <w:r w:rsidR="00113831">
        <w:t xml:space="preserve"> </w:t>
      </w:r>
      <w:r>
        <w:t xml:space="preserve">621,60 zł </w:t>
      </w:r>
      <w:r w:rsidR="00EB0047">
        <w:t xml:space="preserve"> (dwa tysiące </w:t>
      </w:r>
      <w:r>
        <w:t>sześćset dwadzieścia jeden złotych 60/100),                                    - odsetki  657,68 zł (sześćset pięćdziesiąt siedem złotych 68/100)</w:t>
      </w:r>
      <w:r w:rsidR="00113831">
        <w:t>.</w:t>
      </w:r>
    </w:p>
    <w:p w14:paraId="410C948C" w14:textId="77777777" w:rsidR="0020381E" w:rsidRDefault="001736CC" w:rsidP="001736CC">
      <w:r>
        <w:t xml:space="preserve"> Koszty odbioru odpadów z nieruchomości zamieszkałych i niezamieszkałych poniesione na rzecz Przedsiębiorstwa U</w:t>
      </w:r>
      <w:r w:rsidR="00F13A74">
        <w:t>sług Komunalnych w Lipnie w 2020</w:t>
      </w:r>
      <w:r>
        <w:t xml:space="preserve"> </w:t>
      </w:r>
      <w:r w:rsidR="0020381E">
        <w:t xml:space="preserve">r. wyniosły 448 441,42 zł ( </w:t>
      </w:r>
      <w:r w:rsidR="0020381E" w:rsidRPr="0020381E">
        <w:t>czterysta czterdzieści osiem tysięcy czterysta czterdzieści jeden złotych 92/100</w:t>
      </w:r>
      <w:r w:rsidR="0020381E">
        <w:t>).</w:t>
      </w:r>
      <w:r>
        <w:t xml:space="preserve">                    </w:t>
      </w:r>
    </w:p>
    <w:p w14:paraId="1AAB8EE3" w14:textId="77777777" w:rsidR="00721797" w:rsidRDefault="0020381E" w:rsidP="001736CC">
      <w:r>
        <w:t xml:space="preserve"> </w:t>
      </w:r>
      <w:r w:rsidR="001736CC">
        <w:t xml:space="preserve"> Pozostałe koszty :                                                                                                                                                </w:t>
      </w:r>
      <w:r w:rsidR="004A2A6B">
        <w:t xml:space="preserve">    </w:t>
      </w:r>
      <w:r w:rsidR="006506BD">
        <w:t xml:space="preserve">     - wynagrodzenia  24 565,24 </w:t>
      </w:r>
      <w:r w:rsidR="004A2A6B">
        <w:t>zł (dwadzieścia cztery</w:t>
      </w:r>
      <w:r w:rsidR="00902996">
        <w:t xml:space="preserve"> tysiące pięćset sześćdziesiąt </w:t>
      </w:r>
      <w:r w:rsidR="004A2A6B">
        <w:t>pięć złotych 24/100</w:t>
      </w:r>
      <w:r w:rsidR="003C7942">
        <w:t>),</w:t>
      </w:r>
      <w:r w:rsidR="001736CC">
        <w:t xml:space="preserve">                                                                                                         </w:t>
      </w:r>
      <w:r w:rsidR="004A2A6B">
        <w:t xml:space="preserve">         - materiały biurowe 342,59 zł (trzysta czterdzieści dwa złote 59/100</w:t>
      </w:r>
      <w:r w:rsidR="003C7942">
        <w:t>),</w:t>
      </w:r>
      <w:r w:rsidR="004A2A6B">
        <w:t xml:space="preserve"> </w:t>
      </w:r>
      <w:r w:rsidR="001736CC">
        <w:t xml:space="preserve">                                                                                                         </w:t>
      </w:r>
      <w:r w:rsidR="003C7942">
        <w:t xml:space="preserve">                     - media 597,00 zł </w:t>
      </w:r>
      <w:r w:rsidR="001736CC">
        <w:t xml:space="preserve">, </w:t>
      </w:r>
      <w:r w:rsidR="003C7942">
        <w:t>(pięćset dziewięćdziesiąt siedem złotych 00/100),</w:t>
      </w:r>
      <w:r w:rsidR="001736CC">
        <w:t xml:space="preserve">                                                                                                                                                  -</w:t>
      </w:r>
      <w:r w:rsidR="00535B64">
        <w:t xml:space="preserve"> opłaty za </w:t>
      </w:r>
      <w:proofErr w:type="spellStart"/>
      <w:r w:rsidR="001736CC">
        <w:t>internet</w:t>
      </w:r>
      <w:proofErr w:type="spellEnd"/>
      <w:r w:rsidR="003C7942">
        <w:t xml:space="preserve"> , telefon: 651,87 zł (sześćset pięćdziesiąt jeden złotych 87/100),</w:t>
      </w:r>
      <w:r w:rsidR="001736CC">
        <w:t xml:space="preserve">                                                                                                                </w:t>
      </w:r>
      <w:r>
        <w:t xml:space="preserve">           -</w:t>
      </w:r>
      <w:r w:rsidR="00113831">
        <w:t xml:space="preserve"> </w:t>
      </w:r>
      <w:r>
        <w:t>opieka autorska ,opłata bankowa ,usługi informatyczne</w:t>
      </w:r>
      <w:r w:rsidR="003C7942">
        <w:t xml:space="preserve"> : 2711</w:t>
      </w:r>
      <w:r w:rsidR="001736CC">
        <w:t>,</w:t>
      </w:r>
      <w:r w:rsidR="003C7942">
        <w:t>92</w:t>
      </w:r>
      <w:r w:rsidR="006506BD">
        <w:t xml:space="preserve"> zł</w:t>
      </w:r>
      <w:r w:rsidR="003C7942">
        <w:t xml:space="preserve"> (</w:t>
      </w:r>
      <w:r w:rsidR="001736CC">
        <w:t xml:space="preserve"> </w:t>
      </w:r>
      <w:r w:rsidR="003C7942">
        <w:t xml:space="preserve">dwa tysiące siedemset </w:t>
      </w:r>
      <w:r>
        <w:t>jedenaście złotych</w:t>
      </w:r>
      <w:r w:rsidR="001736CC">
        <w:t xml:space="preserve">  </w:t>
      </w:r>
      <w:r>
        <w:t>92/100),</w:t>
      </w:r>
      <w:r w:rsidR="001736CC">
        <w:t xml:space="preserve">                                                                               </w:t>
      </w:r>
      <w:r w:rsidR="003C7942">
        <w:t xml:space="preserve">    </w:t>
      </w:r>
      <w:r>
        <w:t xml:space="preserve">                                                                                   </w:t>
      </w:r>
      <w:r w:rsidR="00902996">
        <w:t xml:space="preserve">   - opłaty pocztowe </w:t>
      </w:r>
      <w:r w:rsidR="003C7942">
        <w:t>: 854,50</w:t>
      </w:r>
      <w:r w:rsidR="001736CC">
        <w:t xml:space="preserve"> zł, </w:t>
      </w:r>
      <w:r w:rsidR="003C7942">
        <w:t>(osiemset pięćdziesiąt cztery złote 50/100)</w:t>
      </w:r>
      <w:r w:rsidR="00113831">
        <w:t>,</w:t>
      </w:r>
      <w:r w:rsidR="001736CC">
        <w:t xml:space="preserve">                                                                                                                                                        -</w:t>
      </w:r>
      <w:r w:rsidR="00876A99">
        <w:t xml:space="preserve"> </w:t>
      </w:r>
      <w:r w:rsidR="001736CC">
        <w:t>Zakładowy Fundusz  Świadczeń Soc</w:t>
      </w:r>
      <w:r>
        <w:t>jalnych 775,13 zł (siedemset siedemdziesiąt pięć złotych 13/100)</w:t>
      </w:r>
      <w:r w:rsidR="00113831">
        <w:t>.</w:t>
      </w:r>
      <w:r w:rsidR="001736CC">
        <w:t xml:space="preserve">    </w:t>
      </w:r>
    </w:p>
    <w:p w14:paraId="42954DA4" w14:textId="77777777" w:rsidR="001736CC" w:rsidRDefault="001736CC" w:rsidP="001736CC">
      <w:r>
        <w:t xml:space="preserve">                                                            </w:t>
      </w:r>
      <w:r w:rsidR="00F13A74">
        <w:t xml:space="preserve">       </w:t>
      </w:r>
      <w:r w:rsidR="004A2A6B">
        <w:t xml:space="preserve">   </w:t>
      </w:r>
    </w:p>
    <w:p w14:paraId="74D068BD" w14:textId="77777777" w:rsidR="001736CC" w:rsidRDefault="001736CC" w:rsidP="001736CC">
      <w:r>
        <w:t>10.Podsumowanie i wnioski</w:t>
      </w:r>
    </w:p>
    <w:p w14:paraId="7A4F0488" w14:textId="77777777" w:rsidR="001736CC" w:rsidRDefault="001736CC" w:rsidP="001736CC">
      <w:r>
        <w:t xml:space="preserve">     Zgodnie z art.6c ust.1 ustawy z dnia 13 września 1996 r. o utrzymaniu c</w:t>
      </w:r>
      <w:r w:rsidR="00113831">
        <w:t xml:space="preserve">zystości i porządku w gminach, </w:t>
      </w:r>
      <w:r>
        <w:t>gminy są obowiązane do zorganizowania odbierania odpadów komunalnych od właścicieli nieruchomości na których zamieszkują mieszkańcy. Ust. 2 ww. artykułu stanowi, że  rada gminy może, w drodze uchwały stanowiącej akt prawa miejscowego, postanowić o odbieraniu odpadów komunalnych od właścicieli nieruchomości, na których nie zamieszkują mieszkańcy, a powstają odpady komunalne.  Uchwałą Nr XXIV/134/2012 z dnia 28 grudnia 2012 r.</w:t>
      </w:r>
      <w:r w:rsidRPr="006C2A7C">
        <w:t xml:space="preserve"> </w:t>
      </w:r>
      <w:r>
        <w:t xml:space="preserve">Rada Gminy w Górznie postanowiła o odbieraniu odpadów komunalnych od właścicieli nieruchomości, na których nie zamieszkują mieszkańcy, a powstają odpady komunalne. </w:t>
      </w:r>
      <w:r w:rsidR="001B1E74">
        <w:t>Realizując ustawowe obowiązki  M</w:t>
      </w:r>
      <w:r>
        <w:t xml:space="preserve">iasto i </w:t>
      </w:r>
      <w:r w:rsidR="001B1E74">
        <w:t>G</w:t>
      </w:r>
      <w:r>
        <w:t>mina Górzno dostosowało swój system gospodarki odpadami komunalnymi do obowiązujących regulacji.</w:t>
      </w:r>
    </w:p>
    <w:p w14:paraId="446DC892" w14:textId="77777777" w:rsidR="00535B64" w:rsidRDefault="00535B64" w:rsidP="001736CC">
      <w:r>
        <w:t>Na uwagę zasługuje</w:t>
      </w:r>
      <w:r w:rsidR="000126A4">
        <w:t xml:space="preserve"> również </w:t>
      </w:r>
      <w:r>
        <w:t xml:space="preserve"> fakt, że zgodnie z </w:t>
      </w:r>
      <w:proofErr w:type="spellStart"/>
      <w:r w:rsidR="000126A4">
        <w:t>u.c.p.g</w:t>
      </w:r>
      <w:proofErr w:type="spellEnd"/>
      <w:r w:rsidR="000126A4">
        <w:t xml:space="preserve">. (art.3b ust 1 ) </w:t>
      </w:r>
      <w:r>
        <w:t xml:space="preserve">gminy są zobowiązane </w:t>
      </w:r>
      <w:r w:rsidR="000126A4">
        <w:t xml:space="preserve">zwiększać wymagany do osiągnięcia </w:t>
      </w:r>
      <w:r>
        <w:t xml:space="preserve"> </w:t>
      </w:r>
      <w:r w:rsidR="000126A4">
        <w:t>poziom  przygotowania do ponownego użycia i recyklingu</w:t>
      </w:r>
      <w:r>
        <w:t xml:space="preserve">                                                                                                                            </w:t>
      </w:r>
      <w:r w:rsidR="00F42EF0">
        <w:t xml:space="preserve">odpadów komunalnych </w:t>
      </w:r>
      <w:r w:rsidR="000126A4">
        <w:t xml:space="preserve"> od </w:t>
      </w:r>
      <w:r>
        <w:t>co najmniej</w:t>
      </w:r>
      <w:r w:rsidR="000126A4">
        <w:t xml:space="preserve"> 20 % wagowo za 2021 r. do co najmniej 65 % wagowo </w:t>
      </w:r>
      <w:r>
        <w:t xml:space="preserve"> za 2035 r. i lata kolejne. W osiągnięciu tego celu wydatny udział muszą mieć zarówno działania podejmowane przez władze samorządowe jak i proekologiczna postawa mieszkańców gminy.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B469EC" w14:textId="77777777" w:rsidR="001736CC" w:rsidRDefault="001736CC" w:rsidP="001736CC">
      <w:r>
        <w:t xml:space="preserve">                                                                                                                                                                     </w:t>
      </w:r>
      <w:r w:rsidR="008A2D9D">
        <w:t xml:space="preserve"> </w:t>
      </w:r>
      <w:r w:rsidR="00E621DA">
        <w:t xml:space="preserve">  </w:t>
      </w:r>
      <w:r>
        <w:t xml:space="preserve">                                                                                                               </w:t>
      </w:r>
    </w:p>
    <w:p w14:paraId="1E505742" w14:textId="77777777" w:rsidR="001736CC" w:rsidRDefault="001736CC" w:rsidP="001736CC">
      <w:r>
        <w:t xml:space="preserve">                                                      </w:t>
      </w:r>
    </w:p>
    <w:p w14:paraId="0B302E43" w14:textId="77777777" w:rsidR="000B4552" w:rsidRDefault="000B4552" w:rsidP="000B4552">
      <w:r>
        <w:t xml:space="preserve">  </w:t>
      </w:r>
      <w:r w:rsidR="001005F5">
        <w:t xml:space="preserve">             </w:t>
      </w:r>
    </w:p>
    <w:p w14:paraId="526B650E" w14:textId="77777777" w:rsidR="00820D9B" w:rsidRPr="00F76C29" w:rsidRDefault="001005F5">
      <w:pPr>
        <w:rPr>
          <w:sz w:val="20"/>
          <w:szCs w:val="20"/>
        </w:rPr>
      </w:pPr>
      <w:r>
        <w:t xml:space="preserve">                             </w:t>
      </w:r>
      <w:r w:rsidR="000B4552" w:rsidRPr="000B4552">
        <w:rPr>
          <w:sz w:val="20"/>
          <w:szCs w:val="20"/>
        </w:rPr>
        <w:t xml:space="preserve">                                                         </w:t>
      </w:r>
      <w:r w:rsidR="00F76C29">
        <w:rPr>
          <w:sz w:val="20"/>
          <w:szCs w:val="20"/>
        </w:rPr>
        <w:t xml:space="preserve">                       </w:t>
      </w:r>
    </w:p>
    <w:sectPr w:rsidR="00820D9B" w:rsidRPr="00F76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BC"/>
    <w:rsid w:val="000126A4"/>
    <w:rsid w:val="00075B45"/>
    <w:rsid w:val="000B4552"/>
    <w:rsid w:val="000D42CD"/>
    <w:rsid w:val="001005F5"/>
    <w:rsid w:val="00113831"/>
    <w:rsid w:val="0014223F"/>
    <w:rsid w:val="001736CC"/>
    <w:rsid w:val="00181451"/>
    <w:rsid w:val="001B1E74"/>
    <w:rsid w:val="0020381E"/>
    <w:rsid w:val="002217B0"/>
    <w:rsid w:val="002304D1"/>
    <w:rsid w:val="00287DDA"/>
    <w:rsid w:val="002B6C6D"/>
    <w:rsid w:val="002E1DA9"/>
    <w:rsid w:val="00303B9D"/>
    <w:rsid w:val="003462B4"/>
    <w:rsid w:val="00351909"/>
    <w:rsid w:val="003731D6"/>
    <w:rsid w:val="003948F9"/>
    <w:rsid w:val="003C7942"/>
    <w:rsid w:val="00446179"/>
    <w:rsid w:val="00470532"/>
    <w:rsid w:val="004A2A6B"/>
    <w:rsid w:val="004D0F60"/>
    <w:rsid w:val="00505133"/>
    <w:rsid w:val="00535B64"/>
    <w:rsid w:val="00551597"/>
    <w:rsid w:val="00583AB2"/>
    <w:rsid w:val="00596013"/>
    <w:rsid w:val="005B41F8"/>
    <w:rsid w:val="005D5789"/>
    <w:rsid w:val="006103DB"/>
    <w:rsid w:val="006506BD"/>
    <w:rsid w:val="00690879"/>
    <w:rsid w:val="0069246F"/>
    <w:rsid w:val="006B5026"/>
    <w:rsid w:val="006B7171"/>
    <w:rsid w:val="00721797"/>
    <w:rsid w:val="00775752"/>
    <w:rsid w:val="007B0969"/>
    <w:rsid w:val="007E6F08"/>
    <w:rsid w:val="00807105"/>
    <w:rsid w:val="00820D9B"/>
    <w:rsid w:val="00827CD2"/>
    <w:rsid w:val="008627B3"/>
    <w:rsid w:val="008637B3"/>
    <w:rsid w:val="00876A99"/>
    <w:rsid w:val="008A2D9D"/>
    <w:rsid w:val="00902996"/>
    <w:rsid w:val="009215D9"/>
    <w:rsid w:val="009C72C8"/>
    <w:rsid w:val="00A1338E"/>
    <w:rsid w:val="00A508B3"/>
    <w:rsid w:val="00AA15A9"/>
    <w:rsid w:val="00AF2D7A"/>
    <w:rsid w:val="00B1424A"/>
    <w:rsid w:val="00B3723E"/>
    <w:rsid w:val="00BB60DA"/>
    <w:rsid w:val="00BF50FE"/>
    <w:rsid w:val="00C93EC4"/>
    <w:rsid w:val="00CE15CD"/>
    <w:rsid w:val="00CE59BC"/>
    <w:rsid w:val="00CE7F8A"/>
    <w:rsid w:val="00D30C64"/>
    <w:rsid w:val="00D930F6"/>
    <w:rsid w:val="00DA4BE4"/>
    <w:rsid w:val="00DB05ED"/>
    <w:rsid w:val="00DE2789"/>
    <w:rsid w:val="00DF4673"/>
    <w:rsid w:val="00E24F01"/>
    <w:rsid w:val="00E621DA"/>
    <w:rsid w:val="00E660DF"/>
    <w:rsid w:val="00E958D2"/>
    <w:rsid w:val="00EB0047"/>
    <w:rsid w:val="00F032F1"/>
    <w:rsid w:val="00F06237"/>
    <w:rsid w:val="00F13A74"/>
    <w:rsid w:val="00F42EF0"/>
    <w:rsid w:val="00F555CB"/>
    <w:rsid w:val="00F602E2"/>
    <w:rsid w:val="00F720CA"/>
    <w:rsid w:val="00F76C29"/>
    <w:rsid w:val="00F774DC"/>
    <w:rsid w:val="00FA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37A4"/>
  <w15:docId w15:val="{C09B8853-845B-4C64-A05F-8D54E2A3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6CC"/>
    <w:pPr>
      <w:spacing w:after="160" w:line="259" w:lineRule="auto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3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6CC"/>
    <w:rPr>
      <w:rFonts w:ascii="Tahoma" w:eastAsiaTheme="minorHAns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F032F1"/>
    <w:rPr>
      <w:color w:val="808080"/>
    </w:rPr>
  </w:style>
  <w:style w:type="paragraph" w:styleId="Bezodstpw">
    <w:name w:val="No Spacing"/>
    <w:uiPriority w:val="1"/>
    <w:qFormat/>
    <w:rsid w:val="001005F5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4278</Words>
  <Characters>25672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Jarzynka Marcin</dc:creator>
  <cp:lastModifiedBy>Czerwińska Renata</cp:lastModifiedBy>
  <cp:revision>2</cp:revision>
  <cp:lastPrinted>2021-04-28T09:48:00Z</cp:lastPrinted>
  <dcterms:created xsi:type="dcterms:W3CDTF">2021-04-30T07:50:00Z</dcterms:created>
  <dcterms:modified xsi:type="dcterms:W3CDTF">2021-04-30T07:50:00Z</dcterms:modified>
</cp:coreProperties>
</file>